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印发《关于进一步加强巡游出租汽车顶灯管理的实施意见》的通知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阜交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运发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﹝202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市交通运输综合行政执法队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《关于进一步加强巡游出租汽车顶灯管理的实施意见》已经局党组会同意，现印发给你们，请认真贯彻落实。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center"/>
        <w:textAlignment w:val="auto"/>
        <w:rPr>
          <w:rFonts w:hint="eastAsia" w:asciiTheme="majorEastAsia" w:hAnsiTheme="majorEastAsia" w:eastAsiaTheme="majorEastAsia" w:cstheme="majorEastAsia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阜新市交通运输局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（此件公开发布）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 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关于进一步加强巡游出租汽车顶灯管理的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实施意见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为了提高我市巡游出租车行业安全化、规范化服务水平，做好巡游出租车行业精神文明建设，进一步规范巡游车顶灯管理，依据《巡游出租车经营服务管理规定》（交通运输部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2021第16号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）和《辽宁省客运出租汽车管理条例》，结合本地实际，制定本实施意见。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一、本意见适用范围为全市巡游出租汽车（不含彰武县）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二、投入运营的巡游出租汽车车辆顶灯，应当具有行驶记录功能的车辆卫星定位装置、应急报警装置（出租车顶灯屏后的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LED显示屏是应急报警系统的组成部分，出现突发情况该屏能够直接显示报警求助信息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），设置中英文“出租汽车”字样的顶灯和能显示空车、暂停运营、电召等运营状态的标志。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在我市从事巡游出租汽车智能顶灯业务的设备供应商应当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满足</w:t>
      </w:r>
      <w:r>
        <w:rPr>
          <w:rFonts w:hint="eastAsia" w:ascii="仿宋_GB2312" w:hAnsi="仿宋_GB2312" w:eastAsia="仿宋_GB2312" w:cs="仿宋_GB2312"/>
          <w:sz w:val="32"/>
          <w:szCs w:val="32"/>
        </w:rPr>
        <w:t>与出租汽车服务管理信息系统接口连接。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巡</w:t>
      </w:r>
      <w:r>
        <w:rPr>
          <w:rFonts w:hint="eastAsia" w:ascii="仿宋_GB2312" w:hAnsi="仿宋_GB2312" w:eastAsia="仿宋_GB2312" w:cs="仿宋_GB2312"/>
          <w:sz w:val="32"/>
          <w:szCs w:val="32"/>
        </w:rPr>
        <w:t>游出租汽车经营者安装使用顶灯，采取自愿原则选择顶灯设备供应商。顶灯设备供应商应当与巡游出租汽车经营者签订相关协议，明确双方的权利义务以及售后服务条款，供应商需及时响应售后维护，不得影响车辆正常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五、个体巡游出租车经营者自行安装顶灯的，顶灯应当具备本意见第二条所要求的相关应急报警功能。顶灯LED屏所发布内容应当遵守相关法律法规。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六、违反本意见的依据《巡游出租车经营服务管理规定》（交通运输部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2021第16号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）进行处罚。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78" w:leftChars="304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巡游出租车顶灯规格尺寸样式图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《阜新市巡游出租车顶灯技术标准》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巡游出租车顶灯规格尺寸样式图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drawing>
          <wp:inline distT="0" distB="0" distL="114300" distR="114300">
            <wp:extent cx="5608320" cy="4048760"/>
            <wp:effectExtent l="0" t="0" r="0" b="508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pacing w:line="56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阜新</w:t>
      </w:r>
      <w:r>
        <w:rPr>
          <w:rFonts w:hint="eastAsia" w:ascii="宋体" w:hAnsi="宋体" w:eastAsia="宋体" w:cs="宋体"/>
          <w:sz w:val="44"/>
          <w:szCs w:val="44"/>
        </w:rPr>
        <w:t>市巡游出租汽车顶灯技术标准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</w:rPr>
        <w:t>尺寸要求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巡游出租汽车智能顶灯设备外观尺寸不大于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830</w:t>
      </w:r>
      <w:r>
        <w:rPr>
          <w:rFonts w:hint="eastAsia" w:ascii="仿宋_GB2312" w:hAnsi="仿宋_GB2312" w:eastAsia="仿宋_GB2312" w:cs="仿宋_GB2312"/>
          <w:sz w:val="32"/>
          <w:szCs w:val="32"/>
        </w:rPr>
        <w:t>（长）×2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0（宽）×2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0（高）（单位:mm），尺寸比例应美观大方，安装后车身（含顶灯）总高度应符合《道路交通安全法实施条例》要求，不得影响车辆在地下车库、地下通道、隧道等地。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二、材质要求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巡游出租汽车智能顶灯材质应符合GB/T2423.1、GB/T2423.2要求，宜使用ASA等环保材料。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三、功能要求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巡游出租汽车智能顶灯应满足以下功能要求：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（1）外壳应清晰标识（出租/TAXI）,并能够在夜间通过顶灯内部的照明装置使顶灯明显可见；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（2）在空车（静态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红</w:t>
      </w:r>
      <w:r>
        <w:rPr>
          <w:rFonts w:hint="eastAsia" w:ascii="仿宋_GB2312" w:hAnsi="仿宋_GB2312" w:eastAsia="仿宋_GB2312" w:cs="仿宋_GB2312"/>
          <w:sz w:val="32"/>
          <w:szCs w:val="32"/>
        </w:rPr>
        <w:t>色）、有客（静态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绿色</w:t>
      </w:r>
      <w:r>
        <w:rPr>
          <w:rFonts w:hint="eastAsia" w:ascii="仿宋_GB2312" w:hAnsi="仿宋_GB2312" w:eastAsia="仿宋_GB2312" w:cs="仿宋_GB2312"/>
          <w:sz w:val="32"/>
          <w:szCs w:val="32"/>
        </w:rPr>
        <w:t>）状态下能正确显示标识；</w:t>
      </w:r>
    </w:p>
    <w:p>
      <w:pPr>
        <w:adjustRightIn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四、性能要求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巡游出租汽车智能顶灯应满足以下性能要求：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（1）设计使用寿命大于八年；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（2）平均无故障运行时间（MTBF）大于20000h；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（3）应符合QC/T413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汽车电器设备基本技术条件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中有关电气性能、电磁兼容特征的规定；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（4）工作电压范围：DC9V～16V;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（5）存储温度范围：-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℃～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℃，工作温度范围-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℃～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℃；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（6）工作环境相对湿度：15%～90%；</w:t>
      </w:r>
    </w:p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（7）亮度可调节。</w:t>
      </w:r>
    </w:p>
    <w:bookmarkEnd w:id="0"/>
    <w:p>
      <w:pPr>
        <w:pStyle w:val="6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　　　　　　　　　　　　　　　　　　　　　　　　　　　　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wordWrap w:val="0"/>
      <w:ind w:left="4788" w:leftChars="2280" w:firstLine="6400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cs="宋体"/>
        <w:b/>
        <w:bCs/>
        <w:color w:val="005192"/>
        <w:sz w:val="28"/>
        <w:szCs w:val="44"/>
      </w:rPr>
      <w:t>阜新市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交通运输局</w: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发布    </w:t>
    </w:r>
  </w:p>
  <w:p>
    <w:pPr>
      <w:pStyle w:val="9"/>
      <w:wordWrap w:val="0"/>
      <w:ind w:left="4788" w:leftChars="2280" w:firstLine="5622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宋体" w:hAnsi="宋体" w:cs="宋体"/>
        <w:b/>
        <w:bCs/>
        <w:color w:val="005192"/>
        <w:sz w:val="32"/>
      </w:rPr>
    </w:pPr>
    <w:r>
      <w:rPr>
        <w:rFonts w:ascii="宋体" w:hAnsi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pSLLs/cBAADLAwAADgAAAGRycy9lMm9Eb2MueG1srVNNjtMw&#10;FN4jcQfLe5o005YSNZ3FVMMGQSXgAK5jJ5b8Jz9P016CCyCxgxVL9tyG4Rg8O2EY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74g+EDxJfCGZKChmplE31Ws+MriNgXS3+XpGXrrpXW+Qq1JUNDK/wSNENfSvQD&#10;hsYjN7AdJUx3aHgeQ4YEp1WbticgCN3hSgdyZMkm5XL+okqksd1fZan3jkE/1uXUaCCjIr4JrQxy&#10;LtM37dY2oYvsw4lBEnKULkUH156zokWa4R3nppMfk4nuzzG+/wa3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R0DW1QAAAAkBAAAPAAAAAAAAAAEAIAAAACIAAABkcnMvZG93bnJldi54bWxQSwEC&#10;FAAUAAAACACHTuJApSLLs/cBAADLAwAADgAAAAAAAAABACAAAAAkAQAAZHJzL2Uyb0RvYy54bWxQ&#10;SwUGAAAAAAYABgBZAQAAjQ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hint="eastAsia" w:ascii="宋体" w:hAnsi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szCs w:val="32"/>
      </w:rPr>
      <w:t>阜新市</w:t>
    </w:r>
    <w:r>
      <w:rPr>
        <w:rFonts w:hint="eastAsia" w:ascii="宋体" w:hAnsi="宋体" w:cs="宋体"/>
        <w:b/>
        <w:bCs/>
        <w:color w:val="005192"/>
        <w:sz w:val="32"/>
        <w:szCs w:val="32"/>
        <w:lang w:eastAsia="zh-CN"/>
      </w:rPr>
      <w:t>交通运输局</w:t>
    </w:r>
    <w:r>
      <w:rPr>
        <w:rFonts w:hint="eastAsia" w:ascii="宋体" w:hAnsi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MDEyYjViMTkwMDYwNDlkMDY5ODFmNDM1M2E3MWUifQ=="/>
  </w:docVars>
  <w:rsids>
    <w:rsidRoot w:val="29F93AA1"/>
    <w:rsid w:val="00117549"/>
    <w:rsid w:val="001F571C"/>
    <w:rsid w:val="0026573C"/>
    <w:rsid w:val="002D40B3"/>
    <w:rsid w:val="00401F69"/>
    <w:rsid w:val="00FF56C1"/>
    <w:rsid w:val="0186240D"/>
    <w:rsid w:val="02CC3DD3"/>
    <w:rsid w:val="05E97064"/>
    <w:rsid w:val="0DE7643B"/>
    <w:rsid w:val="0EBFEA2D"/>
    <w:rsid w:val="0F2E03D5"/>
    <w:rsid w:val="147D241F"/>
    <w:rsid w:val="159B6909"/>
    <w:rsid w:val="160D3A15"/>
    <w:rsid w:val="19891D91"/>
    <w:rsid w:val="1AFDCC16"/>
    <w:rsid w:val="1C58533C"/>
    <w:rsid w:val="1FDB3C5F"/>
    <w:rsid w:val="231821C4"/>
    <w:rsid w:val="27F2EFF6"/>
    <w:rsid w:val="28405372"/>
    <w:rsid w:val="29F93AA1"/>
    <w:rsid w:val="2A0B746E"/>
    <w:rsid w:val="2DD90EF3"/>
    <w:rsid w:val="36773B5E"/>
    <w:rsid w:val="3ADC05FA"/>
    <w:rsid w:val="3C27710C"/>
    <w:rsid w:val="3D053A7C"/>
    <w:rsid w:val="3E3A62D6"/>
    <w:rsid w:val="3FD87443"/>
    <w:rsid w:val="41F789A7"/>
    <w:rsid w:val="43BBAD12"/>
    <w:rsid w:val="49482EB4"/>
    <w:rsid w:val="4B326EBF"/>
    <w:rsid w:val="4EE84D58"/>
    <w:rsid w:val="4F4564A7"/>
    <w:rsid w:val="52AC1807"/>
    <w:rsid w:val="53EAFFEB"/>
    <w:rsid w:val="58334413"/>
    <w:rsid w:val="588875E4"/>
    <w:rsid w:val="599969E7"/>
    <w:rsid w:val="5AF53360"/>
    <w:rsid w:val="5CFD8DBD"/>
    <w:rsid w:val="5DFDB0B1"/>
    <w:rsid w:val="5F6CF18E"/>
    <w:rsid w:val="5FBCCC6F"/>
    <w:rsid w:val="610802EB"/>
    <w:rsid w:val="624B41E9"/>
    <w:rsid w:val="64D12312"/>
    <w:rsid w:val="65ED37D7"/>
    <w:rsid w:val="68376C8E"/>
    <w:rsid w:val="6BDDE957"/>
    <w:rsid w:val="6D185E9C"/>
    <w:rsid w:val="6DBE67E0"/>
    <w:rsid w:val="6E3D4575"/>
    <w:rsid w:val="6F7F1142"/>
    <w:rsid w:val="72FA604E"/>
    <w:rsid w:val="75BC7671"/>
    <w:rsid w:val="77EF94F6"/>
    <w:rsid w:val="78803867"/>
    <w:rsid w:val="7953633B"/>
    <w:rsid w:val="7BCF3F7E"/>
    <w:rsid w:val="7C0F6C70"/>
    <w:rsid w:val="7DDFCD64"/>
    <w:rsid w:val="7E572327"/>
    <w:rsid w:val="7EDECEC0"/>
    <w:rsid w:val="7EF67E15"/>
    <w:rsid w:val="7EFB170C"/>
    <w:rsid w:val="7F0F4D0C"/>
    <w:rsid w:val="7FC1191D"/>
    <w:rsid w:val="7FE595CA"/>
    <w:rsid w:val="7FE9A700"/>
    <w:rsid w:val="7FFD1F6B"/>
    <w:rsid w:val="8F743877"/>
    <w:rsid w:val="99FFF21D"/>
    <w:rsid w:val="9A810C86"/>
    <w:rsid w:val="9AB1F5B7"/>
    <w:rsid w:val="9E7A1C25"/>
    <w:rsid w:val="AF7E7739"/>
    <w:rsid w:val="AFAF3508"/>
    <w:rsid w:val="BEFBDC52"/>
    <w:rsid w:val="BFDFDEFA"/>
    <w:rsid w:val="CBFD62DD"/>
    <w:rsid w:val="D7B0E1CA"/>
    <w:rsid w:val="DCBEAAC4"/>
    <w:rsid w:val="DDFBBC2A"/>
    <w:rsid w:val="DFDFC3A6"/>
    <w:rsid w:val="E3FDE49F"/>
    <w:rsid w:val="E7FAB9C2"/>
    <w:rsid w:val="E9A63F75"/>
    <w:rsid w:val="E9EF3FD9"/>
    <w:rsid w:val="ED7B7D8B"/>
    <w:rsid w:val="EE9D5EB7"/>
    <w:rsid w:val="EF5F2ECD"/>
    <w:rsid w:val="EF7705A4"/>
    <w:rsid w:val="F7BCB5E9"/>
    <w:rsid w:val="F7BFAF18"/>
    <w:rsid w:val="F9FF0316"/>
    <w:rsid w:val="FAFBE545"/>
    <w:rsid w:val="FD1FE91F"/>
    <w:rsid w:val="FEBEEEAD"/>
    <w:rsid w:val="FEFC5C6F"/>
    <w:rsid w:val="FEFF45B0"/>
    <w:rsid w:val="FF1B680B"/>
    <w:rsid w:val="FF7FDF3A"/>
    <w:rsid w:val="FF9F1C07"/>
    <w:rsid w:val="FFEF622F"/>
    <w:rsid w:val="FFFC4639"/>
    <w:rsid w:val="FFFD74B3"/>
    <w:rsid w:val="FF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2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Plain Text"/>
    <w:basedOn w:val="1"/>
    <w:qFormat/>
    <w:uiPriority w:val="99"/>
    <w:pPr>
      <w:spacing w:line="360" w:lineRule="auto"/>
      <w:ind w:firstLine="420" w:firstLineChars="200"/>
    </w:pPr>
    <w:rPr>
      <w:rFonts w:ascii="宋体" w:hAnsi="Courier New"/>
      <w:kern w:val="0"/>
      <w:sz w:val="20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font12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1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9">
    <w:name w:val="font231"/>
    <w:basedOn w:val="1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201"/>
    <w:basedOn w:val="1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51"/>
    <w:basedOn w:val="13"/>
    <w:qFormat/>
    <w:uiPriority w:val="0"/>
    <w:rPr>
      <w:rFonts w:hint="eastAsia" w:ascii="宋体" w:hAnsi="宋体" w:eastAsia="宋体" w:cs="宋体"/>
      <w:b/>
      <w:bCs/>
      <w:color w:val="000000"/>
      <w:sz w:val="52"/>
      <w:szCs w:val="52"/>
      <w:u w:val="none"/>
    </w:rPr>
  </w:style>
  <w:style w:type="character" w:customStyle="1" w:styleId="23">
    <w:name w:val="font131"/>
    <w:basedOn w:val="1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4">
    <w:name w:val="font8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批注框文本 Char"/>
    <w:basedOn w:val="13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正文文本 Char"/>
    <w:basedOn w:val="13"/>
    <w:link w:val="5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1160</Words>
  <Characters>1248</Characters>
  <Lines>12</Lines>
  <Paragraphs>3</Paragraphs>
  <TotalTime>36</TotalTime>
  <ScaleCrop>false</ScaleCrop>
  <LinksUpToDate>false</LinksUpToDate>
  <CharactersWithSpaces>1283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2021-12-04T16:37:00Z</dcterms:created>
  <dc:creator>A羊娃娃</dc:creator>
  <cp:lastModifiedBy>WPS_1601532680</cp:lastModifiedBy>
  <dcterms:modified xsi:type="dcterms:W3CDTF">2023-12-13T06:26:58Z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42B7CF782C124D6AA17ABEC9367E5EC5_13</vt:lpwstr>
  </property>
</Properties>
</file>