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BD4199">
      <w:pPr>
        <w:pStyle w:val="3"/>
        <w:wordWrap w:val="0"/>
        <w:spacing w:before="480" w:line="380" w:lineRule="atLeast"/>
        <w:jc w:val="center"/>
        <w:rPr>
          <w:sz w:val="36"/>
          <w:szCs w:val="36"/>
        </w:rPr>
      </w:pPr>
      <w:bookmarkStart w:id="15" w:name="_GoBack"/>
      <w:r>
        <w:rPr>
          <w:sz w:val="36"/>
          <w:szCs w:val="36"/>
        </w:rPr>
        <w:t>评标办法（技术评分</w:t>
      </w:r>
      <w:r>
        <w:rPr>
          <w:rFonts w:hint="eastAsia"/>
          <w:sz w:val="36"/>
          <w:szCs w:val="36"/>
        </w:rPr>
        <w:t>合理</w:t>
      </w:r>
      <w:r>
        <w:rPr>
          <w:sz w:val="36"/>
          <w:szCs w:val="36"/>
        </w:rPr>
        <w:t>低标价法）</w:t>
      </w:r>
    </w:p>
    <w:bookmarkEnd w:id="15"/>
    <w:p w14:paraId="198A4182">
      <w:pPr>
        <w:pStyle w:val="3"/>
        <w:wordWrap w:val="0"/>
        <w:spacing w:before="480" w:line="380" w:lineRule="atLeast"/>
        <w:rPr>
          <w:szCs w:val="24"/>
        </w:rPr>
      </w:pPr>
      <w:bookmarkStart w:id="0" w:name="_Toc17718"/>
      <w:r>
        <w:rPr>
          <w:szCs w:val="24"/>
        </w:rPr>
        <w:t>评标办法前附表</w:t>
      </w:r>
      <w:r>
        <w:rPr>
          <w:rStyle w:val="12"/>
          <w:kern w:val="2"/>
          <w:sz w:val="28"/>
          <w:szCs w:val="28"/>
        </w:rPr>
        <w:footnoteReference w:id="0"/>
      </w:r>
      <w:bookmarkEnd w:id="0"/>
    </w:p>
    <w:tbl>
      <w:tblPr>
        <w:tblStyle w:val="9"/>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89"/>
        <w:gridCol w:w="1583"/>
        <w:gridCol w:w="6319"/>
      </w:tblGrid>
      <w:tr w14:paraId="486F93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blHeader/>
        </w:trPr>
        <w:tc>
          <w:tcPr>
            <w:tcW w:w="2572" w:type="dxa"/>
            <w:gridSpan w:val="2"/>
            <w:tcBorders>
              <w:top w:val="single" w:color="auto" w:sz="4" w:space="0"/>
              <w:bottom w:val="single" w:color="auto" w:sz="4" w:space="0"/>
              <w:right w:val="single" w:color="auto" w:sz="4" w:space="0"/>
            </w:tcBorders>
            <w:vAlign w:val="center"/>
          </w:tcPr>
          <w:p w14:paraId="67FFD12C">
            <w:pPr>
              <w:wordWrap w:val="0"/>
              <w:spacing w:line="380" w:lineRule="atLeast"/>
              <w:jc w:val="center"/>
              <w:rPr>
                <w:b/>
                <w:szCs w:val="21"/>
              </w:rPr>
            </w:pPr>
            <w:r>
              <w:rPr>
                <w:b/>
                <w:szCs w:val="21"/>
              </w:rPr>
              <w:t>条款号</w:t>
            </w:r>
          </w:p>
        </w:tc>
        <w:tc>
          <w:tcPr>
            <w:tcW w:w="6319" w:type="dxa"/>
            <w:tcBorders>
              <w:top w:val="single" w:color="auto" w:sz="4" w:space="0"/>
              <w:left w:val="single" w:color="auto" w:sz="4" w:space="0"/>
              <w:bottom w:val="single" w:color="auto" w:sz="4" w:space="0"/>
              <w:right w:val="single" w:color="auto" w:sz="4" w:space="0"/>
            </w:tcBorders>
            <w:vAlign w:val="center"/>
          </w:tcPr>
          <w:p w14:paraId="5C08609F">
            <w:pPr>
              <w:wordWrap w:val="0"/>
              <w:spacing w:line="380" w:lineRule="atLeast"/>
              <w:jc w:val="center"/>
              <w:rPr>
                <w:b/>
                <w:spacing w:val="4"/>
                <w:szCs w:val="21"/>
              </w:rPr>
            </w:pPr>
            <w:r>
              <w:rPr>
                <w:b/>
                <w:spacing w:val="4"/>
                <w:szCs w:val="21"/>
              </w:rPr>
              <w:t>评审因素与评审标准</w:t>
            </w:r>
          </w:p>
        </w:tc>
      </w:tr>
      <w:tr w14:paraId="5D2CD0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89" w:type="dxa"/>
            <w:tcBorders>
              <w:top w:val="single" w:color="auto" w:sz="4" w:space="0"/>
              <w:bottom w:val="single" w:color="auto" w:sz="4" w:space="0"/>
              <w:right w:val="single" w:color="auto" w:sz="4" w:space="0"/>
            </w:tcBorders>
            <w:vAlign w:val="center"/>
          </w:tcPr>
          <w:p w14:paraId="7B6FB4EA">
            <w:pPr>
              <w:wordWrap w:val="0"/>
              <w:spacing w:line="400" w:lineRule="atLeast"/>
              <w:jc w:val="center"/>
              <w:rPr>
                <w:szCs w:val="21"/>
              </w:rPr>
            </w:pPr>
            <w:r>
              <w:rPr>
                <w:szCs w:val="21"/>
              </w:rPr>
              <w:t>1</w:t>
            </w:r>
          </w:p>
        </w:tc>
        <w:tc>
          <w:tcPr>
            <w:tcW w:w="1583" w:type="dxa"/>
            <w:tcBorders>
              <w:top w:val="single" w:color="auto" w:sz="4" w:space="0"/>
              <w:bottom w:val="single" w:color="auto" w:sz="4" w:space="0"/>
              <w:right w:val="single" w:color="auto" w:sz="4" w:space="0"/>
            </w:tcBorders>
            <w:vAlign w:val="center"/>
          </w:tcPr>
          <w:p w14:paraId="077C7297">
            <w:pPr>
              <w:wordWrap w:val="0"/>
              <w:spacing w:line="400" w:lineRule="atLeast"/>
              <w:jc w:val="center"/>
              <w:rPr>
                <w:szCs w:val="21"/>
              </w:rPr>
            </w:pPr>
            <w:r>
              <w:rPr>
                <w:szCs w:val="21"/>
              </w:rPr>
              <w:t>评标方法</w:t>
            </w:r>
          </w:p>
        </w:tc>
        <w:tc>
          <w:tcPr>
            <w:tcW w:w="6319" w:type="dxa"/>
            <w:tcBorders>
              <w:top w:val="single" w:color="auto" w:sz="4" w:space="0"/>
              <w:left w:val="single" w:color="auto" w:sz="4" w:space="0"/>
              <w:right w:val="single" w:color="auto" w:sz="4" w:space="0"/>
            </w:tcBorders>
            <w:vAlign w:val="center"/>
          </w:tcPr>
          <w:p w14:paraId="4C44CED1">
            <w:pPr>
              <w:wordWrap w:val="0"/>
              <w:spacing w:line="360" w:lineRule="atLeast"/>
              <w:ind w:firstLine="420" w:firstLineChars="200"/>
              <w:rPr>
                <w:szCs w:val="21"/>
              </w:rPr>
            </w:pPr>
            <w:r>
              <w:rPr>
                <w:szCs w:val="21"/>
              </w:rPr>
              <w:t>评标价</w:t>
            </w:r>
            <w:r>
              <w:rPr>
                <w:rFonts w:hint="eastAsia"/>
                <w:szCs w:val="21"/>
              </w:rPr>
              <w:t>得分</w:t>
            </w:r>
            <w:r>
              <w:rPr>
                <w:szCs w:val="21"/>
              </w:rPr>
              <w:t>相等时，评标委员会依次按照以下优先顺序推荐中标候选人或确定中标人：</w:t>
            </w:r>
          </w:p>
          <w:p w14:paraId="06BEF81A">
            <w:pPr>
              <w:wordWrap w:val="0"/>
              <w:spacing w:line="360" w:lineRule="atLeast"/>
              <w:ind w:firstLine="420" w:firstLineChars="200"/>
              <w:rPr>
                <w:szCs w:val="21"/>
              </w:rPr>
            </w:pPr>
            <w:r>
              <w:rPr>
                <w:szCs w:val="21"/>
              </w:rPr>
              <w:t>（1）评标价低的投标人优先；</w:t>
            </w:r>
          </w:p>
          <w:p w14:paraId="6740BE8E">
            <w:pPr>
              <w:wordWrap w:val="0"/>
              <w:spacing w:line="360" w:lineRule="atLeast"/>
              <w:ind w:firstLine="420" w:firstLineChars="200"/>
              <w:rPr>
                <w:szCs w:val="21"/>
              </w:rPr>
            </w:pPr>
            <w:r>
              <w:rPr>
                <w:szCs w:val="21"/>
              </w:rPr>
              <w:t>（2）被</w:t>
            </w:r>
            <w:r>
              <w:rPr>
                <w:rFonts w:hint="eastAsia"/>
                <w:szCs w:val="21"/>
              </w:rPr>
              <w:t>辽宁</w:t>
            </w:r>
            <w:r>
              <w:rPr>
                <w:szCs w:val="21"/>
              </w:rPr>
              <w:t>省交通运输</w:t>
            </w:r>
            <w:r>
              <w:rPr>
                <w:rFonts w:hint="eastAsia"/>
                <w:szCs w:val="21"/>
              </w:rPr>
              <w:t>厅</w:t>
            </w:r>
            <w:r>
              <w:rPr>
                <w:szCs w:val="21"/>
              </w:rPr>
              <w:t>评为较高信用等级的投标人优先；</w:t>
            </w:r>
          </w:p>
          <w:p w14:paraId="39DB47DF">
            <w:pPr>
              <w:wordWrap w:val="0"/>
              <w:spacing w:line="360" w:lineRule="atLeast"/>
              <w:ind w:firstLine="420" w:firstLineChars="200"/>
              <w:rPr>
                <w:szCs w:val="21"/>
              </w:rPr>
            </w:pPr>
            <w:r>
              <w:rPr>
                <w:szCs w:val="21"/>
              </w:rPr>
              <w:t>（3）商务和技术得分较高的投标人优先</w:t>
            </w:r>
            <w:r>
              <w:rPr>
                <w:rFonts w:hint="eastAsia"/>
                <w:szCs w:val="21"/>
              </w:rPr>
              <w:t>；</w:t>
            </w:r>
          </w:p>
          <w:p w14:paraId="2354E691">
            <w:pPr>
              <w:wordWrap w:val="0"/>
              <w:spacing w:line="360" w:lineRule="atLeast"/>
              <w:ind w:firstLine="420" w:firstLineChars="200"/>
              <w:rPr>
                <w:szCs w:val="21"/>
              </w:rPr>
            </w:pPr>
            <w:r>
              <w:rPr>
                <w:rFonts w:hint="eastAsia"/>
                <w:szCs w:val="21"/>
              </w:rPr>
              <w:t>（4）施工组织设计得分较高的投标人优先。</w:t>
            </w:r>
          </w:p>
          <w:p w14:paraId="1F6E151E">
            <w:pPr>
              <w:wordWrap w:val="0"/>
              <w:spacing w:line="360" w:lineRule="atLeast"/>
              <w:ind w:firstLine="420" w:firstLineChars="200"/>
              <w:rPr>
                <w:szCs w:val="21"/>
              </w:rPr>
            </w:pPr>
            <w:r>
              <w:rPr>
                <w:szCs w:val="21"/>
              </w:rPr>
              <w:t>若</w:t>
            </w:r>
            <w:r>
              <w:rPr>
                <w:rFonts w:hint="eastAsia"/>
                <w:szCs w:val="21"/>
              </w:rPr>
              <w:t>施工组织设计</w:t>
            </w:r>
            <w:r>
              <w:rPr>
                <w:szCs w:val="21"/>
              </w:rPr>
              <w:t>得分也相等时，则由评标委员会根据投标文件的编制情况投票确定其推荐顺序。</w:t>
            </w:r>
          </w:p>
        </w:tc>
      </w:tr>
      <w:tr w14:paraId="511192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89" w:type="dxa"/>
            <w:tcBorders>
              <w:top w:val="single" w:color="auto" w:sz="4" w:space="0"/>
              <w:right w:val="single" w:color="auto" w:sz="4" w:space="0"/>
            </w:tcBorders>
            <w:vAlign w:val="center"/>
          </w:tcPr>
          <w:p w14:paraId="1B48A077">
            <w:pPr>
              <w:wordWrap w:val="0"/>
              <w:spacing w:line="380" w:lineRule="atLeast"/>
              <w:jc w:val="center"/>
              <w:rPr>
                <w:szCs w:val="21"/>
              </w:rPr>
            </w:pPr>
            <w:r>
              <w:rPr>
                <w:szCs w:val="21"/>
              </w:rPr>
              <w:t>2.1.1</w:t>
            </w:r>
          </w:p>
          <w:p w14:paraId="4C40AB67">
            <w:pPr>
              <w:wordWrap w:val="0"/>
              <w:spacing w:line="380" w:lineRule="atLeast"/>
              <w:jc w:val="center"/>
              <w:rPr>
                <w:szCs w:val="21"/>
              </w:rPr>
            </w:pPr>
            <w:r>
              <w:rPr>
                <w:szCs w:val="21"/>
              </w:rPr>
              <w:t>2.1.3</w:t>
            </w:r>
          </w:p>
        </w:tc>
        <w:tc>
          <w:tcPr>
            <w:tcW w:w="1583" w:type="dxa"/>
            <w:tcBorders>
              <w:top w:val="single" w:color="auto" w:sz="4" w:space="0"/>
              <w:bottom w:val="single" w:color="auto" w:sz="4" w:space="0"/>
              <w:right w:val="single" w:color="auto" w:sz="4" w:space="0"/>
            </w:tcBorders>
            <w:vAlign w:val="center"/>
          </w:tcPr>
          <w:p w14:paraId="67FC74C5">
            <w:pPr>
              <w:wordWrap w:val="0"/>
              <w:spacing w:line="380" w:lineRule="atLeast"/>
              <w:jc w:val="center"/>
              <w:rPr>
                <w:szCs w:val="21"/>
              </w:rPr>
            </w:pPr>
            <w:r>
              <w:rPr>
                <w:szCs w:val="21"/>
              </w:rPr>
              <w:t>形式评审与响应性评审标准</w:t>
            </w:r>
          </w:p>
        </w:tc>
        <w:tc>
          <w:tcPr>
            <w:tcW w:w="6319" w:type="dxa"/>
            <w:tcBorders>
              <w:top w:val="single" w:color="auto" w:sz="4" w:space="0"/>
              <w:left w:val="single" w:color="auto" w:sz="4" w:space="0"/>
              <w:right w:val="single" w:color="auto" w:sz="4" w:space="0"/>
            </w:tcBorders>
            <w:vAlign w:val="center"/>
          </w:tcPr>
          <w:p w14:paraId="5B18880D">
            <w:pPr>
              <w:wordWrap w:val="0"/>
              <w:spacing w:line="360" w:lineRule="atLeast"/>
              <w:ind w:firstLine="422" w:firstLineChars="200"/>
              <w:rPr>
                <w:b/>
                <w:szCs w:val="21"/>
              </w:rPr>
            </w:pPr>
            <w:r>
              <w:rPr>
                <w:b/>
                <w:szCs w:val="21"/>
              </w:rPr>
              <w:t>第一个信封（商务及技术文件）评审标准：</w:t>
            </w:r>
          </w:p>
          <w:p w14:paraId="5728366F">
            <w:pPr>
              <w:wordWrap w:val="0"/>
              <w:spacing w:line="360" w:lineRule="atLeast"/>
              <w:ind w:firstLine="420" w:firstLineChars="200"/>
              <w:rPr>
                <w:szCs w:val="21"/>
              </w:rPr>
            </w:pPr>
            <w:r>
              <w:rPr>
                <w:szCs w:val="21"/>
              </w:rPr>
              <w:t>（1）投标文件按照招标文件规定的格式、内容填写，字迹清晰可辨：</w:t>
            </w:r>
          </w:p>
          <w:p w14:paraId="3CBD26C0">
            <w:pPr>
              <w:wordWrap w:val="0"/>
              <w:spacing w:line="360" w:lineRule="atLeast"/>
              <w:ind w:firstLine="420" w:firstLineChars="200"/>
              <w:rPr>
                <w:szCs w:val="21"/>
              </w:rPr>
            </w:pPr>
            <w:r>
              <w:rPr>
                <w:szCs w:val="21"/>
              </w:rPr>
              <w:t>a.投标函按招标文件规定填报了项目名称、标段号、补遗书编号（如有）、工期、工程质量要求及安全目标；</w:t>
            </w:r>
          </w:p>
          <w:p w14:paraId="3F847934">
            <w:pPr>
              <w:wordWrap w:val="0"/>
              <w:spacing w:line="360" w:lineRule="atLeast"/>
              <w:ind w:firstLine="420" w:firstLineChars="200"/>
              <w:rPr>
                <w:szCs w:val="21"/>
              </w:rPr>
            </w:pPr>
            <w:r>
              <w:rPr>
                <w:szCs w:val="21"/>
              </w:rPr>
              <w:t>b.投标函附录的所有数据均符合招标文件规定；</w:t>
            </w:r>
          </w:p>
          <w:p w14:paraId="582A977B">
            <w:pPr>
              <w:wordWrap w:val="0"/>
              <w:spacing w:line="360" w:lineRule="atLeast"/>
              <w:ind w:firstLine="420" w:firstLineChars="200"/>
              <w:rPr>
                <w:szCs w:val="21"/>
              </w:rPr>
            </w:pPr>
            <w:r>
              <w:rPr>
                <w:szCs w:val="21"/>
              </w:rPr>
              <w:t>c.投标文件组成齐全完整，内容均按规定填写。</w:t>
            </w:r>
          </w:p>
          <w:p w14:paraId="7502307B">
            <w:pPr>
              <w:wordWrap w:val="0"/>
              <w:spacing w:line="360" w:lineRule="atLeast"/>
              <w:ind w:firstLine="420" w:firstLineChars="200"/>
              <w:rPr>
                <w:szCs w:val="21"/>
              </w:rPr>
            </w:pPr>
            <w:r>
              <w:rPr>
                <w:szCs w:val="21"/>
              </w:rPr>
              <w:t>（2）投标文件上法定代表人或其委托代理人的签字、投标人的单位章盖章齐全，符合招标文件规定。</w:t>
            </w:r>
          </w:p>
          <w:p w14:paraId="700AE6FA">
            <w:pPr>
              <w:wordWrap w:val="0"/>
              <w:spacing w:line="360" w:lineRule="atLeast"/>
              <w:ind w:firstLine="420" w:firstLineChars="200"/>
              <w:rPr>
                <w:szCs w:val="21"/>
              </w:rPr>
            </w:pPr>
            <w:r>
              <w:rPr>
                <w:szCs w:val="21"/>
              </w:rPr>
              <w:t>（</w:t>
            </w:r>
            <w:r>
              <w:rPr>
                <w:rFonts w:hint="eastAsia"/>
                <w:szCs w:val="21"/>
              </w:rPr>
              <w:t>3</w:t>
            </w:r>
            <w:r>
              <w:rPr>
                <w:szCs w:val="21"/>
              </w:rPr>
              <w:t>）投标人按照招标文件的规定提供了投标保证金：</w:t>
            </w:r>
          </w:p>
          <w:p w14:paraId="6D4BEE3E">
            <w:pPr>
              <w:wordWrap w:val="0"/>
              <w:spacing w:line="360" w:lineRule="atLeast"/>
              <w:ind w:firstLine="420" w:firstLineChars="200"/>
              <w:rPr>
                <w:szCs w:val="21"/>
              </w:rPr>
            </w:pPr>
            <w:r>
              <w:rPr>
                <w:szCs w:val="21"/>
              </w:rPr>
              <w:t>a.投标保证金金额符合招标文件规定的金额，且投标保证金有效期不少于投标有效期；</w:t>
            </w:r>
          </w:p>
          <w:p w14:paraId="14FFB03F">
            <w:pPr>
              <w:wordWrap w:val="0"/>
              <w:spacing w:line="360" w:lineRule="atLeast"/>
              <w:ind w:firstLine="420" w:firstLineChars="200"/>
              <w:rPr>
                <w:szCs w:val="21"/>
              </w:rPr>
            </w:pPr>
            <w:r>
              <w:rPr>
                <w:szCs w:val="21"/>
              </w:rPr>
              <w:t>b.若投标保证金采用现金或支票形式提交，投标人应在递交投标文件截止时间之前，将投标保证金由投标人的基本账户转入招标人指定账户；</w:t>
            </w:r>
          </w:p>
          <w:p w14:paraId="30190DC5">
            <w:pPr>
              <w:wordWrap w:val="0"/>
              <w:spacing w:line="360" w:lineRule="atLeast"/>
              <w:ind w:firstLine="420" w:firstLineChars="200"/>
              <w:rPr>
                <w:szCs w:val="21"/>
              </w:rPr>
            </w:pPr>
            <w:r>
              <w:rPr>
                <w:szCs w:val="21"/>
              </w:rPr>
              <w:t>c.若投标保证金采用银行保函形式提交，银行保函的格式、开具保函的银行均满足招标文件要求。</w:t>
            </w:r>
          </w:p>
          <w:p w14:paraId="4C3210D6">
            <w:pPr>
              <w:wordWrap w:val="0"/>
              <w:spacing w:line="360" w:lineRule="atLeast"/>
              <w:ind w:firstLine="420" w:firstLineChars="200"/>
              <w:rPr>
                <w:szCs w:val="21"/>
              </w:rPr>
            </w:pPr>
            <w:r>
              <w:rPr>
                <w:rFonts w:hint="eastAsia"/>
                <w:szCs w:val="21"/>
              </w:rPr>
              <w:t>d.若投标保证金采用电子保函形式提交，投标人应在投标文件中提供电子保函的原件扫描件、电子化保函验真渠道和从投标人基本账户支出的保函财务费用支付凭证。</w:t>
            </w:r>
          </w:p>
          <w:p w14:paraId="37BCCC84">
            <w:pPr>
              <w:wordWrap w:val="0"/>
              <w:spacing w:line="360" w:lineRule="atLeast"/>
              <w:ind w:firstLine="420" w:firstLineChars="200"/>
              <w:rPr>
                <w:szCs w:val="21"/>
              </w:rPr>
            </w:pPr>
            <w:r>
              <w:rPr>
                <w:szCs w:val="21"/>
              </w:rPr>
              <w:t>（</w:t>
            </w:r>
            <w:r>
              <w:rPr>
                <w:rFonts w:hint="eastAsia"/>
                <w:szCs w:val="21"/>
              </w:rPr>
              <w:t>4</w:t>
            </w:r>
            <w:r>
              <w:rPr>
                <w:szCs w:val="21"/>
              </w:rPr>
              <w:t>）投标人法定代表人授权委托代理人签署投标文件的，须提交授权委托书，且授权人和被授权人均在授权委托书上使用CA数字证书加盖个人电子印章或</w:t>
            </w:r>
            <w:r>
              <w:rPr>
                <w:rFonts w:hint="eastAsia"/>
                <w:szCs w:val="21"/>
              </w:rPr>
              <w:t>电子签名</w:t>
            </w:r>
            <w:r>
              <w:rPr>
                <w:szCs w:val="21"/>
              </w:rPr>
              <w:t>。</w:t>
            </w:r>
          </w:p>
          <w:p w14:paraId="60FEB792">
            <w:pPr>
              <w:wordWrap w:val="0"/>
              <w:spacing w:line="360" w:lineRule="atLeast"/>
              <w:ind w:firstLine="420" w:firstLineChars="200"/>
              <w:rPr>
                <w:szCs w:val="21"/>
              </w:rPr>
            </w:pPr>
            <w:r>
              <w:rPr>
                <w:szCs w:val="21"/>
              </w:rPr>
              <w:t>（</w:t>
            </w:r>
            <w:r>
              <w:rPr>
                <w:rFonts w:hint="eastAsia"/>
                <w:szCs w:val="21"/>
              </w:rPr>
              <w:t>5</w:t>
            </w:r>
            <w:r>
              <w:rPr>
                <w:szCs w:val="21"/>
              </w:rPr>
              <w:t>）投标人法定代表人亲自签署投标文件的，提供了法定代表人身份证明，且法定代表人在法定代表人身份证明上使用CA数字证书加盖个人电子印章或</w:t>
            </w:r>
            <w:r>
              <w:rPr>
                <w:rFonts w:hint="eastAsia"/>
                <w:szCs w:val="21"/>
              </w:rPr>
              <w:t>电子签名</w:t>
            </w:r>
            <w:r>
              <w:rPr>
                <w:szCs w:val="21"/>
              </w:rPr>
              <w:t>。</w:t>
            </w:r>
          </w:p>
          <w:p w14:paraId="26D55127">
            <w:pPr>
              <w:wordWrap w:val="0"/>
              <w:spacing w:line="360" w:lineRule="atLeast"/>
              <w:ind w:firstLine="420" w:firstLineChars="200"/>
              <w:rPr>
                <w:szCs w:val="21"/>
              </w:rPr>
            </w:pPr>
            <w:r>
              <w:rPr>
                <w:szCs w:val="21"/>
              </w:rPr>
              <w:t>（</w:t>
            </w:r>
            <w:r>
              <w:rPr>
                <w:rFonts w:hint="eastAsia"/>
                <w:szCs w:val="21"/>
              </w:rPr>
              <w:t>6</w:t>
            </w:r>
            <w:r>
              <w:rPr>
                <w:szCs w:val="21"/>
              </w:rPr>
              <w:t>）投标人以联合体形式投标时，联合体满足招标文件的要求：投标人按照招标文件提供的格式签订了联合体协议书，</w:t>
            </w:r>
            <w:r>
              <w:t>明确各方承担连带责任，</w:t>
            </w:r>
            <w:r>
              <w:rPr>
                <w:szCs w:val="21"/>
              </w:rPr>
              <w:t>并明确了联合体牵头人</w:t>
            </w:r>
            <w:r>
              <w:rPr>
                <w:rFonts w:hint="eastAsia"/>
                <w:szCs w:val="21"/>
              </w:rPr>
              <w:t>。</w:t>
            </w:r>
          </w:p>
          <w:p w14:paraId="60971B55">
            <w:pPr>
              <w:wordWrap w:val="0"/>
              <w:spacing w:line="360" w:lineRule="atLeast"/>
              <w:ind w:firstLine="420" w:firstLineChars="200"/>
              <w:rPr>
                <w:szCs w:val="21"/>
              </w:rPr>
            </w:pPr>
            <w:r>
              <w:rPr>
                <w:szCs w:val="21"/>
              </w:rPr>
              <w:t>（</w:t>
            </w:r>
            <w:r>
              <w:rPr>
                <w:rFonts w:hint="eastAsia"/>
                <w:szCs w:val="21"/>
              </w:rPr>
              <w:t>7</w:t>
            </w:r>
            <w:r>
              <w:rPr>
                <w:szCs w:val="21"/>
              </w:rPr>
              <w:t>）投标人如有分包计划，符合招标文件第二章</w:t>
            </w:r>
            <w:r>
              <w:rPr>
                <w:rFonts w:hint="eastAsia" w:cs="宋体"/>
                <w:szCs w:val="21"/>
              </w:rPr>
              <w:t>“</w:t>
            </w:r>
            <w:r>
              <w:rPr>
                <w:szCs w:val="21"/>
              </w:rPr>
              <w:t>投标人须知</w:t>
            </w:r>
            <w:r>
              <w:rPr>
                <w:rFonts w:hint="eastAsia" w:cs="宋体"/>
                <w:szCs w:val="21"/>
              </w:rPr>
              <w:t>”</w:t>
            </w:r>
            <w:r>
              <w:rPr>
                <w:szCs w:val="21"/>
              </w:rPr>
              <w:t>第1.11款规定。</w:t>
            </w:r>
          </w:p>
          <w:p w14:paraId="200087BD">
            <w:pPr>
              <w:wordWrap w:val="0"/>
              <w:spacing w:line="360" w:lineRule="atLeast"/>
              <w:ind w:firstLine="420" w:firstLineChars="200"/>
              <w:rPr>
                <w:szCs w:val="21"/>
              </w:rPr>
            </w:pPr>
            <w:r>
              <w:rPr>
                <w:szCs w:val="21"/>
              </w:rPr>
              <w:t>（</w:t>
            </w:r>
            <w:r>
              <w:rPr>
                <w:rFonts w:hint="eastAsia"/>
                <w:szCs w:val="21"/>
              </w:rPr>
              <w:t>8</w:t>
            </w:r>
            <w:r>
              <w:rPr>
                <w:szCs w:val="21"/>
              </w:rPr>
              <w:t>）同一投标人未提交两个以上不同的投标文件，但招标文件要求提交备选投标的除外。</w:t>
            </w:r>
          </w:p>
          <w:p w14:paraId="4F641ACD">
            <w:pPr>
              <w:wordWrap w:val="0"/>
              <w:spacing w:line="360" w:lineRule="atLeast"/>
              <w:ind w:firstLine="420" w:firstLineChars="200"/>
              <w:rPr>
                <w:szCs w:val="21"/>
              </w:rPr>
            </w:pPr>
            <w:r>
              <w:rPr>
                <w:szCs w:val="21"/>
              </w:rPr>
              <w:t>（</w:t>
            </w:r>
            <w:r>
              <w:rPr>
                <w:rFonts w:hint="eastAsia"/>
                <w:szCs w:val="21"/>
              </w:rPr>
              <w:t>9</w:t>
            </w:r>
            <w:r>
              <w:rPr>
                <w:szCs w:val="21"/>
              </w:rPr>
              <w:t>）投标文件中未出现有关投标报价的内容。</w:t>
            </w:r>
          </w:p>
          <w:p w14:paraId="4E650CB4">
            <w:pPr>
              <w:wordWrap w:val="0"/>
              <w:spacing w:line="360" w:lineRule="atLeast"/>
              <w:ind w:firstLine="420" w:firstLineChars="200"/>
              <w:rPr>
                <w:szCs w:val="21"/>
              </w:rPr>
            </w:pPr>
            <w:r>
              <w:rPr>
                <w:szCs w:val="21"/>
              </w:rPr>
              <w:t>（1</w:t>
            </w:r>
            <w:r>
              <w:rPr>
                <w:rFonts w:hint="eastAsia"/>
                <w:szCs w:val="21"/>
              </w:rPr>
              <w:t>0</w:t>
            </w:r>
            <w:r>
              <w:rPr>
                <w:szCs w:val="21"/>
              </w:rPr>
              <w:t>）投标文件载明的招标项目完成期限未超过招标文件规定的时限。</w:t>
            </w:r>
          </w:p>
          <w:p w14:paraId="15A53441">
            <w:pPr>
              <w:wordWrap w:val="0"/>
              <w:spacing w:line="360" w:lineRule="atLeast"/>
              <w:ind w:firstLine="420" w:firstLineChars="200"/>
              <w:rPr>
                <w:szCs w:val="21"/>
              </w:rPr>
            </w:pPr>
            <w:r>
              <w:rPr>
                <w:szCs w:val="21"/>
              </w:rPr>
              <w:t>（1</w:t>
            </w:r>
            <w:r>
              <w:rPr>
                <w:rFonts w:hint="eastAsia"/>
                <w:szCs w:val="21"/>
              </w:rPr>
              <w:t>1</w:t>
            </w:r>
            <w:r>
              <w:rPr>
                <w:szCs w:val="21"/>
              </w:rPr>
              <w:t>）投标文件对招标文件的实质性要求和条件作出响应。</w:t>
            </w:r>
          </w:p>
          <w:p w14:paraId="7DD25370">
            <w:pPr>
              <w:wordWrap w:val="0"/>
              <w:spacing w:line="360" w:lineRule="atLeast"/>
              <w:ind w:firstLine="420" w:firstLineChars="200"/>
              <w:rPr>
                <w:szCs w:val="21"/>
              </w:rPr>
            </w:pPr>
            <w:r>
              <w:rPr>
                <w:szCs w:val="21"/>
              </w:rPr>
              <w:t>（1</w:t>
            </w:r>
            <w:r>
              <w:rPr>
                <w:rFonts w:hint="eastAsia"/>
                <w:szCs w:val="21"/>
              </w:rPr>
              <w:t>2</w:t>
            </w:r>
            <w:r>
              <w:rPr>
                <w:szCs w:val="21"/>
              </w:rPr>
              <w:t>）权利义务符合招标文件规定：</w:t>
            </w:r>
          </w:p>
          <w:p w14:paraId="08D7E7E0">
            <w:pPr>
              <w:wordWrap w:val="0"/>
              <w:spacing w:line="360" w:lineRule="atLeast"/>
              <w:ind w:firstLine="420" w:firstLineChars="200"/>
              <w:rPr>
                <w:szCs w:val="21"/>
              </w:rPr>
            </w:pPr>
            <w:r>
              <w:rPr>
                <w:szCs w:val="21"/>
              </w:rPr>
              <w:t>a.投标人应接受招标文件规定的风险划分原则，未提出新的风险划分办法；</w:t>
            </w:r>
          </w:p>
          <w:p w14:paraId="5DE73D56">
            <w:pPr>
              <w:wordWrap w:val="0"/>
              <w:spacing w:line="360" w:lineRule="atLeast"/>
              <w:ind w:firstLine="420" w:firstLineChars="200"/>
              <w:rPr>
                <w:szCs w:val="21"/>
              </w:rPr>
            </w:pPr>
            <w:r>
              <w:rPr>
                <w:szCs w:val="21"/>
              </w:rPr>
              <w:t>b.投标人未增加发包人的责任范围，或减少投标人义务；</w:t>
            </w:r>
          </w:p>
          <w:p w14:paraId="0B28F898">
            <w:pPr>
              <w:wordWrap w:val="0"/>
              <w:spacing w:line="360" w:lineRule="atLeast"/>
              <w:ind w:firstLine="420" w:firstLineChars="200"/>
              <w:rPr>
                <w:szCs w:val="21"/>
              </w:rPr>
            </w:pPr>
            <w:r>
              <w:rPr>
                <w:szCs w:val="21"/>
              </w:rPr>
              <w:t>c.投标人未提出不同的工程验收、计量、支付办法；</w:t>
            </w:r>
          </w:p>
          <w:p w14:paraId="3DD5855C">
            <w:pPr>
              <w:wordWrap w:val="0"/>
              <w:spacing w:line="360" w:lineRule="atLeast"/>
              <w:ind w:firstLine="420" w:firstLineChars="200"/>
              <w:rPr>
                <w:szCs w:val="21"/>
              </w:rPr>
            </w:pPr>
            <w:r>
              <w:rPr>
                <w:szCs w:val="21"/>
              </w:rPr>
              <w:t>d.投标人对合同纠纷、事故处理办法未提出异议；</w:t>
            </w:r>
          </w:p>
          <w:p w14:paraId="4369DF5B">
            <w:pPr>
              <w:wordWrap w:val="0"/>
              <w:spacing w:line="360" w:lineRule="atLeast"/>
              <w:ind w:firstLine="420" w:firstLineChars="200"/>
              <w:rPr>
                <w:szCs w:val="21"/>
              </w:rPr>
            </w:pPr>
            <w:r>
              <w:rPr>
                <w:szCs w:val="21"/>
              </w:rPr>
              <w:t>e.投标人在投标活动中无欺诈行为；</w:t>
            </w:r>
          </w:p>
          <w:p w14:paraId="4FAA8418">
            <w:pPr>
              <w:wordWrap w:val="0"/>
              <w:spacing w:line="360" w:lineRule="atLeast"/>
              <w:ind w:firstLine="420" w:firstLineChars="200"/>
              <w:rPr>
                <w:szCs w:val="21"/>
              </w:rPr>
            </w:pPr>
            <w:r>
              <w:rPr>
                <w:szCs w:val="21"/>
              </w:rPr>
              <w:t>f.投标人未对合同条款有重要保留。</w:t>
            </w:r>
          </w:p>
          <w:p w14:paraId="5B9A64FC">
            <w:pPr>
              <w:wordWrap w:val="0"/>
              <w:spacing w:line="360" w:lineRule="atLeast"/>
              <w:ind w:firstLine="420" w:firstLineChars="200"/>
              <w:rPr>
                <w:szCs w:val="21"/>
              </w:rPr>
            </w:pPr>
            <w:r>
              <w:rPr>
                <w:szCs w:val="21"/>
              </w:rPr>
              <w:t>（1</w:t>
            </w:r>
            <w:r>
              <w:rPr>
                <w:rFonts w:hint="eastAsia"/>
                <w:szCs w:val="21"/>
              </w:rPr>
              <w:t>3</w:t>
            </w:r>
            <w:r>
              <w:rPr>
                <w:szCs w:val="21"/>
              </w:rPr>
              <w:t>）</w:t>
            </w:r>
            <w:r>
              <w:rPr>
                <w:rFonts w:hint="eastAsia" w:cs="宋体"/>
                <w:szCs w:val="21"/>
              </w:rPr>
              <w:t>“</w:t>
            </w:r>
            <w:r>
              <w:rPr>
                <w:szCs w:val="21"/>
              </w:rPr>
              <w:t>施工组织设计</w:t>
            </w:r>
            <w:r>
              <w:rPr>
                <w:rFonts w:hint="eastAsia" w:cs="宋体"/>
                <w:szCs w:val="21"/>
              </w:rPr>
              <w:t>”</w:t>
            </w:r>
            <w:r>
              <w:rPr>
                <w:szCs w:val="21"/>
              </w:rPr>
              <w:t>采用暗标形式，其编制须满足招标文件要求。</w:t>
            </w:r>
          </w:p>
          <w:p w14:paraId="4D20F056">
            <w:pPr>
              <w:wordWrap w:val="0"/>
              <w:spacing w:line="360" w:lineRule="atLeast"/>
              <w:ind w:firstLine="420" w:firstLineChars="200"/>
              <w:rPr>
                <w:szCs w:val="21"/>
              </w:rPr>
            </w:pPr>
            <w:r>
              <w:rPr>
                <w:szCs w:val="21"/>
              </w:rPr>
              <w:t>（14）投标人上传投标文件的标段数量满足第一章</w:t>
            </w:r>
            <w:r>
              <w:rPr>
                <w:rFonts w:hint="eastAsia" w:cs="宋体"/>
                <w:szCs w:val="21"/>
              </w:rPr>
              <w:t>“</w:t>
            </w:r>
            <w:r>
              <w:rPr>
                <w:szCs w:val="21"/>
              </w:rPr>
              <w:t>招标公告</w:t>
            </w:r>
            <w:r>
              <w:rPr>
                <w:rFonts w:hint="eastAsia" w:cs="宋体"/>
                <w:szCs w:val="21"/>
              </w:rPr>
              <w:t>”</w:t>
            </w:r>
            <w:r>
              <w:rPr>
                <w:szCs w:val="21"/>
              </w:rPr>
              <w:t>第3.3款规定，投标函上填写的标段号与上传的对应项目标段号一致。</w:t>
            </w:r>
          </w:p>
          <w:p w14:paraId="03B0F674">
            <w:pPr>
              <w:wordWrap w:val="0"/>
              <w:spacing w:line="360" w:lineRule="atLeast"/>
              <w:ind w:firstLine="420" w:firstLineChars="200"/>
              <w:rPr>
                <w:szCs w:val="21"/>
              </w:rPr>
            </w:pPr>
            <w:r>
              <w:rPr>
                <w:szCs w:val="21"/>
              </w:rPr>
              <w:t>（1</w:t>
            </w:r>
            <w:r>
              <w:rPr>
                <w:rFonts w:hint="eastAsia"/>
                <w:szCs w:val="21"/>
              </w:rPr>
              <w:t>5</w:t>
            </w:r>
            <w:r>
              <w:rPr>
                <w:szCs w:val="21"/>
              </w:rPr>
              <w:t>）未发现投标人与其他投标人存在使用同一不可篡改的唯一标识软硬件设备投标的（如：MAC地址、标书制作特征码、标书唯一特征码等）。</w:t>
            </w:r>
          </w:p>
          <w:p w14:paraId="36EB6023">
            <w:pPr>
              <w:wordWrap w:val="0"/>
              <w:spacing w:line="360" w:lineRule="atLeast"/>
              <w:ind w:firstLine="422" w:firstLineChars="200"/>
              <w:rPr>
                <w:b/>
                <w:szCs w:val="21"/>
              </w:rPr>
            </w:pPr>
            <w:r>
              <w:rPr>
                <w:b/>
                <w:szCs w:val="21"/>
              </w:rPr>
              <w:t>第二个信封（报价文件）评审标准：</w:t>
            </w:r>
          </w:p>
          <w:p w14:paraId="7ED3E7B1">
            <w:pPr>
              <w:wordWrap w:val="0"/>
              <w:spacing w:line="360" w:lineRule="atLeast"/>
              <w:ind w:firstLine="420" w:firstLineChars="200"/>
              <w:rPr>
                <w:szCs w:val="21"/>
              </w:rPr>
            </w:pPr>
            <w:r>
              <w:rPr>
                <w:szCs w:val="21"/>
              </w:rPr>
              <w:t>（1）投标文件按照招标文件规定的格式、内容填写，字迹清晰可辨：</w:t>
            </w:r>
          </w:p>
          <w:p w14:paraId="226C6E5C">
            <w:pPr>
              <w:wordWrap w:val="0"/>
              <w:spacing w:line="360" w:lineRule="atLeast"/>
              <w:ind w:firstLine="420" w:firstLineChars="200"/>
              <w:rPr>
                <w:szCs w:val="21"/>
              </w:rPr>
            </w:pPr>
            <w:r>
              <w:rPr>
                <w:szCs w:val="21"/>
              </w:rPr>
              <w:t>a.投标函按招标文件规定填报了项目名称、标段号、补遗书编号（如有）、投标价（包括大写金额和小写金额）；</w:t>
            </w:r>
          </w:p>
          <w:p w14:paraId="34D2790B">
            <w:pPr>
              <w:wordWrap w:val="0"/>
              <w:spacing w:line="360" w:lineRule="atLeast"/>
              <w:ind w:firstLine="420" w:firstLineChars="200"/>
              <w:rPr>
                <w:szCs w:val="21"/>
              </w:rPr>
            </w:pPr>
            <w:r>
              <w:rPr>
                <w:szCs w:val="21"/>
              </w:rPr>
              <w:t>b.已标价工程量清单说明文字与招标文件规定一致，未进行实质性修改和删减；</w:t>
            </w:r>
          </w:p>
          <w:p w14:paraId="097A68A0">
            <w:pPr>
              <w:wordWrap w:val="0"/>
              <w:spacing w:line="360" w:lineRule="atLeast"/>
              <w:ind w:firstLine="420" w:firstLineChars="200"/>
              <w:rPr>
                <w:szCs w:val="21"/>
              </w:rPr>
            </w:pPr>
            <w:r>
              <w:rPr>
                <w:szCs w:val="21"/>
              </w:rPr>
              <w:t>c.投标文件组成齐全完整，内容均按规定填写。</w:t>
            </w:r>
          </w:p>
          <w:p w14:paraId="380C7C7F">
            <w:pPr>
              <w:wordWrap w:val="0"/>
              <w:spacing w:line="360" w:lineRule="atLeast"/>
              <w:ind w:firstLine="420" w:firstLineChars="200"/>
              <w:rPr>
                <w:szCs w:val="21"/>
              </w:rPr>
            </w:pPr>
            <w:r>
              <w:rPr>
                <w:szCs w:val="21"/>
              </w:rPr>
              <w:t>（2）投标文件上法定代表人或其委托代理人的签字、投标人的单位章盖章齐全，符合招标文件规定。</w:t>
            </w:r>
          </w:p>
          <w:p w14:paraId="5210DAB8">
            <w:pPr>
              <w:wordWrap w:val="0"/>
              <w:spacing w:line="360" w:lineRule="atLeast"/>
              <w:ind w:firstLine="420" w:firstLineChars="200"/>
              <w:rPr>
                <w:szCs w:val="21"/>
              </w:rPr>
            </w:pPr>
            <w:r>
              <w:rPr>
                <w:szCs w:val="21"/>
              </w:rPr>
              <w:t>（3）投标报价中的报价未超过招标文件设定的最高投标限价（如有）。</w:t>
            </w:r>
          </w:p>
          <w:p w14:paraId="6BA3A2BA">
            <w:pPr>
              <w:wordWrap w:val="0"/>
              <w:spacing w:line="360" w:lineRule="atLeast"/>
              <w:ind w:firstLine="420" w:firstLineChars="200"/>
              <w:rPr>
                <w:szCs w:val="21"/>
              </w:rPr>
            </w:pPr>
            <w:r>
              <w:rPr>
                <w:szCs w:val="21"/>
              </w:rPr>
              <w:t>（4）投标报价中报价的大写金额能够确定具体数值。</w:t>
            </w:r>
          </w:p>
          <w:p w14:paraId="7FA6AA42">
            <w:pPr>
              <w:wordWrap w:val="0"/>
              <w:spacing w:line="360" w:lineRule="atLeast"/>
              <w:ind w:firstLine="420" w:firstLineChars="200"/>
              <w:rPr>
                <w:szCs w:val="21"/>
              </w:rPr>
            </w:pPr>
            <w:r>
              <w:rPr>
                <w:szCs w:val="21"/>
              </w:rPr>
              <w:t>（5）同一投标人未提交两个以上不同的投标报价，但招标文件要求提交备选投标的除外。</w:t>
            </w:r>
          </w:p>
          <w:p w14:paraId="37DEAD5F">
            <w:pPr>
              <w:wordWrap w:val="0"/>
              <w:spacing w:line="360" w:lineRule="atLeast"/>
              <w:ind w:firstLine="420" w:firstLineChars="200"/>
              <w:rPr>
                <w:szCs w:val="21"/>
              </w:rPr>
            </w:pPr>
            <w:r>
              <w:rPr>
                <w:szCs w:val="21"/>
              </w:rPr>
              <w:t>（</w:t>
            </w:r>
            <w:r>
              <w:rPr>
                <w:rFonts w:hint="eastAsia"/>
                <w:szCs w:val="21"/>
              </w:rPr>
              <w:t>6</w:t>
            </w:r>
            <w:r>
              <w:rPr>
                <w:szCs w:val="21"/>
              </w:rPr>
              <w:t>）投标人若填写工程量固化清单，填写完毕的工程量固化清单未对工程量固化清单电子文件中的数据、格式和运算定义进行修改；工程量固化清单中的投标报价和投标函大写金额报价一致。</w:t>
            </w:r>
          </w:p>
          <w:p w14:paraId="74ADF80A">
            <w:pPr>
              <w:wordWrap w:val="0"/>
              <w:spacing w:line="360" w:lineRule="atLeast"/>
              <w:ind w:firstLine="420" w:firstLineChars="200"/>
              <w:rPr>
                <w:szCs w:val="21"/>
              </w:rPr>
            </w:pPr>
            <w:r>
              <w:rPr>
                <w:szCs w:val="21"/>
              </w:rPr>
              <w:t>（</w:t>
            </w:r>
            <w:r>
              <w:rPr>
                <w:rFonts w:hint="eastAsia"/>
                <w:szCs w:val="21"/>
              </w:rPr>
              <w:t>7</w:t>
            </w:r>
            <w:r>
              <w:rPr>
                <w:szCs w:val="21"/>
              </w:rPr>
              <w:t>）未发现投标人与其他投标人存在使用同一不可篡改的唯一标识软硬件设备投标的（如：MAC地址、标书制作特征码、标书唯一特征码等）。</w:t>
            </w:r>
          </w:p>
        </w:tc>
      </w:tr>
      <w:tr w14:paraId="3AE3AC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530" w:hRule="atLeast"/>
        </w:trPr>
        <w:tc>
          <w:tcPr>
            <w:tcW w:w="989" w:type="dxa"/>
            <w:tcBorders>
              <w:top w:val="single" w:color="auto" w:sz="4" w:space="0"/>
              <w:right w:val="single" w:color="auto" w:sz="4" w:space="0"/>
            </w:tcBorders>
            <w:vAlign w:val="center"/>
          </w:tcPr>
          <w:p w14:paraId="2A28E802">
            <w:pPr>
              <w:wordWrap w:val="0"/>
              <w:spacing w:line="380" w:lineRule="atLeast"/>
              <w:jc w:val="center"/>
              <w:rPr>
                <w:szCs w:val="21"/>
              </w:rPr>
            </w:pPr>
            <w:r>
              <w:rPr>
                <w:szCs w:val="21"/>
              </w:rPr>
              <w:t>2.1.2</w:t>
            </w:r>
          </w:p>
        </w:tc>
        <w:tc>
          <w:tcPr>
            <w:tcW w:w="1583" w:type="dxa"/>
            <w:tcBorders>
              <w:top w:val="single" w:color="auto" w:sz="4" w:space="0"/>
              <w:right w:val="single" w:color="auto" w:sz="4" w:space="0"/>
            </w:tcBorders>
            <w:vAlign w:val="center"/>
          </w:tcPr>
          <w:p w14:paraId="7E594F9E">
            <w:pPr>
              <w:wordWrap w:val="0"/>
              <w:spacing w:line="380" w:lineRule="atLeast"/>
              <w:jc w:val="center"/>
              <w:rPr>
                <w:szCs w:val="21"/>
              </w:rPr>
            </w:pPr>
            <w:r>
              <w:rPr>
                <w:szCs w:val="21"/>
              </w:rPr>
              <w:t>资格评审</w:t>
            </w:r>
          </w:p>
          <w:p w14:paraId="435057C2">
            <w:pPr>
              <w:wordWrap w:val="0"/>
              <w:spacing w:line="380" w:lineRule="atLeast"/>
              <w:jc w:val="center"/>
              <w:rPr>
                <w:szCs w:val="21"/>
              </w:rPr>
            </w:pPr>
            <w:r>
              <w:rPr>
                <w:szCs w:val="21"/>
              </w:rPr>
              <w:t>标准</w:t>
            </w:r>
          </w:p>
        </w:tc>
        <w:tc>
          <w:tcPr>
            <w:tcW w:w="6319" w:type="dxa"/>
            <w:tcBorders>
              <w:top w:val="single" w:color="auto" w:sz="4" w:space="0"/>
              <w:left w:val="single" w:color="auto" w:sz="4" w:space="0"/>
              <w:right w:val="single" w:color="auto" w:sz="4" w:space="0"/>
            </w:tcBorders>
            <w:vAlign w:val="center"/>
          </w:tcPr>
          <w:p w14:paraId="7C4394F3">
            <w:pPr>
              <w:wordWrap w:val="0"/>
              <w:spacing w:line="360" w:lineRule="atLeast"/>
              <w:ind w:firstLine="420" w:firstLineChars="200"/>
              <w:rPr>
                <w:szCs w:val="21"/>
              </w:rPr>
            </w:pPr>
            <w:r>
              <w:rPr>
                <w:szCs w:val="21"/>
              </w:rPr>
              <w:t>（1）</w:t>
            </w:r>
            <w:r>
              <w:rPr>
                <w:rFonts w:cs="宋体"/>
                <w:kern w:val="0"/>
              </w:rPr>
              <w:t>投标人具备有效的营业执照、组织机构代码证、资质证书、安全生产许可证和</w:t>
            </w:r>
            <w:r>
              <w:rPr>
                <w:rFonts w:hint="eastAsia" w:cs="宋体"/>
                <w:kern w:val="0"/>
              </w:rPr>
              <w:t>[</w:t>
            </w:r>
            <w:r>
              <w:rPr>
                <w:rFonts w:cs="宋体"/>
                <w:kern w:val="0"/>
              </w:rPr>
              <w:t>基本账户开户许可证或基本存款账户信息</w:t>
            </w:r>
            <w:r>
              <w:rPr>
                <w:rFonts w:hint="eastAsia" w:cs="宋体"/>
                <w:kern w:val="0"/>
              </w:rPr>
              <w:t>]。</w:t>
            </w:r>
          </w:p>
          <w:p w14:paraId="47B6288F">
            <w:pPr>
              <w:wordWrap w:val="0"/>
              <w:spacing w:line="360" w:lineRule="atLeast"/>
              <w:ind w:firstLine="420" w:firstLineChars="200"/>
              <w:rPr>
                <w:szCs w:val="21"/>
              </w:rPr>
            </w:pPr>
            <w:r>
              <w:rPr>
                <w:szCs w:val="21"/>
              </w:rPr>
              <w:t>（2）投标人的资质等级符合招标文件规定。</w:t>
            </w:r>
          </w:p>
          <w:p w14:paraId="323EE093">
            <w:pPr>
              <w:wordWrap w:val="0"/>
              <w:spacing w:line="360" w:lineRule="atLeast"/>
              <w:ind w:firstLine="420" w:firstLineChars="200"/>
              <w:rPr>
                <w:szCs w:val="21"/>
              </w:rPr>
            </w:pPr>
            <w:r>
              <w:rPr>
                <w:szCs w:val="21"/>
              </w:rPr>
              <w:t>（</w:t>
            </w:r>
            <w:r>
              <w:rPr>
                <w:rFonts w:hint="eastAsia"/>
                <w:szCs w:val="21"/>
              </w:rPr>
              <w:t>3</w:t>
            </w:r>
            <w:r>
              <w:rPr>
                <w:szCs w:val="21"/>
              </w:rPr>
              <w:t>）投标人的类似项目业绩符合招标文件规定。</w:t>
            </w:r>
          </w:p>
          <w:p w14:paraId="313A2D16">
            <w:pPr>
              <w:wordWrap w:val="0"/>
              <w:spacing w:line="360" w:lineRule="atLeast"/>
              <w:ind w:firstLine="420" w:firstLineChars="200"/>
              <w:rPr>
                <w:szCs w:val="21"/>
              </w:rPr>
            </w:pPr>
            <w:r>
              <w:rPr>
                <w:szCs w:val="21"/>
              </w:rPr>
              <w:t>（</w:t>
            </w:r>
            <w:r>
              <w:rPr>
                <w:rFonts w:hint="eastAsia"/>
                <w:szCs w:val="21"/>
              </w:rPr>
              <w:t>4</w:t>
            </w:r>
            <w:r>
              <w:rPr>
                <w:szCs w:val="21"/>
              </w:rPr>
              <w:t>）投标人的信誉符合招标文件规定。</w:t>
            </w:r>
          </w:p>
          <w:p w14:paraId="1FE07BFC">
            <w:pPr>
              <w:wordWrap w:val="0"/>
              <w:spacing w:line="360" w:lineRule="atLeast"/>
              <w:ind w:firstLine="420" w:firstLineChars="200"/>
              <w:rPr>
                <w:szCs w:val="21"/>
              </w:rPr>
            </w:pPr>
            <w:r>
              <w:rPr>
                <w:szCs w:val="21"/>
              </w:rPr>
              <w:t>（</w:t>
            </w:r>
            <w:r>
              <w:rPr>
                <w:rFonts w:hint="eastAsia"/>
                <w:szCs w:val="21"/>
              </w:rPr>
              <w:t>5</w:t>
            </w:r>
            <w:r>
              <w:rPr>
                <w:szCs w:val="21"/>
              </w:rPr>
              <w:t>）投标人的项目经理和项目总工资格、在岗情况符合招标文件规定。</w:t>
            </w:r>
          </w:p>
          <w:p w14:paraId="020147F8">
            <w:pPr>
              <w:wordWrap w:val="0"/>
              <w:spacing w:line="360" w:lineRule="atLeast"/>
              <w:ind w:firstLine="420" w:firstLineChars="200"/>
              <w:rPr>
                <w:szCs w:val="21"/>
              </w:rPr>
            </w:pPr>
            <w:r>
              <w:rPr>
                <w:szCs w:val="21"/>
              </w:rPr>
              <w:t>（</w:t>
            </w:r>
            <w:r>
              <w:rPr>
                <w:rFonts w:hint="eastAsia"/>
                <w:szCs w:val="21"/>
              </w:rPr>
              <w:t>6</w:t>
            </w:r>
            <w:r>
              <w:rPr>
                <w:szCs w:val="21"/>
              </w:rPr>
              <w:t>）投标人的其他要求符合招标文件规定。</w:t>
            </w:r>
          </w:p>
          <w:p w14:paraId="0632AB45">
            <w:pPr>
              <w:wordWrap w:val="0"/>
              <w:spacing w:line="360" w:lineRule="atLeast"/>
              <w:ind w:firstLine="420" w:firstLineChars="200"/>
              <w:rPr>
                <w:szCs w:val="21"/>
              </w:rPr>
            </w:pPr>
            <w:r>
              <w:rPr>
                <w:szCs w:val="21"/>
              </w:rPr>
              <w:t>（</w:t>
            </w:r>
            <w:r>
              <w:rPr>
                <w:rFonts w:hint="eastAsia"/>
                <w:szCs w:val="21"/>
              </w:rPr>
              <w:t>7</w:t>
            </w:r>
            <w:r>
              <w:rPr>
                <w:szCs w:val="21"/>
              </w:rPr>
              <w:t>）投标人不存在第二章</w:t>
            </w:r>
            <w:r>
              <w:rPr>
                <w:rFonts w:hint="eastAsia" w:cs="宋体"/>
                <w:szCs w:val="21"/>
              </w:rPr>
              <w:t>“</w:t>
            </w:r>
            <w:r>
              <w:rPr>
                <w:szCs w:val="21"/>
              </w:rPr>
              <w:t>投标人须知</w:t>
            </w:r>
            <w:r>
              <w:rPr>
                <w:rFonts w:hint="eastAsia" w:cs="宋体"/>
                <w:szCs w:val="21"/>
              </w:rPr>
              <w:t>”</w:t>
            </w:r>
            <w:r>
              <w:rPr>
                <w:szCs w:val="21"/>
              </w:rPr>
              <w:t>第1.4.3项或第1.4.4项规定的任何一种情形。</w:t>
            </w:r>
          </w:p>
          <w:p w14:paraId="60E1360E">
            <w:pPr>
              <w:wordWrap w:val="0"/>
              <w:spacing w:line="360" w:lineRule="atLeast"/>
              <w:ind w:firstLine="420" w:firstLineChars="200"/>
              <w:rPr>
                <w:szCs w:val="21"/>
              </w:rPr>
            </w:pPr>
            <w:r>
              <w:rPr>
                <w:rFonts w:hint="eastAsia"/>
                <w:szCs w:val="21"/>
              </w:rPr>
              <w:t>（8）投标人按招标文件要求提供投标人告知承诺函。</w:t>
            </w:r>
          </w:p>
        </w:tc>
      </w:tr>
      <w:tr w14:paraId="4B52B1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89" w:type="dxa"/>
            <w:tcBorders>
              <w:top w:val="single" w:color="auto" w:sz="4" w:space="0"/>
              <w:right w:val="single" w:color="auto" w:sz="4" w:space="0"/>
            </w:tcBorders>
            <w:vAlign w:val="center"/>
          </w:tcPr>
          <w:p w14:paraId="4B5FFA09">
            <w:pPr>
              <w:wordWrap w:val="0"/>
              <w:spacing w:line="380" w:lineRule="atLeast"/>
              <w:jc w:val="center"/>
              <w:rPr>
                <w:b/>
                <w:szCs w:val="21"/>
              </w:rPr>
            </w:pPr>
            <w:r>
              <w:rPr>
                <w:b/>
                <w:szCs w:val="21"/>
              </w:rPr>
              <w:t>条款号</w:t>
            </w:r>
          </w:p>
        </w:tc>
        <w:tc>
          <w:tcPr>
            <w:tcW w:w="1583" w:type="dxa"/>
            <w:tcBorders>
              <w:top w:val="single" w:color="auto" w:sz="4" w:space="0"/>
              <w:right w:val="single" w:color="auto" w:sz="4" w:space="0"/>
            </w:tcBorders>
            <w:vAlign w:val="center"/>
          </w:tcPr>
          <w:p w14:paraId="3C08106C">
            <w:pPr>
              <w:wordWrap w:val="0"/>
              <w:spacing w:line="380" w:lineRule="atLeast"/>
              <w:jc w:val="center"/>
              <w:rPr>
                <w:b/>
                <w:szCs w:val="21"/>
              </w:rPr>
            </w:pPr>
            <w:r>
              <w:rPr>
                <w:b/>
                <w:szCs w:val="21"/>
              </w:rPr>
              <w:t>条款内容</w:t>
            </w:r>
          </w:p>
        </w:tc>
        <w:tc>
          <w:tcPr>
            <w:tcW w:w="6319" w:type="dxa"/>
            <w:tcBorders>
              <w:top w:val="single" w:color="auto" w:sz="4" w:space="0"/>
              <w:left w:val="single" w:color="auto" w:sz="4" w:space="0"/>
              <w:right w:val="single" w:color="auto" w:sz="4" w:space="0"/>
            </w:tcBorders>
            <w:vAlign w:val="center"/>
          </w:tcPr>
          <w:p w14:paraId="1C6AE151">
            <w:pPr>
              <w:wordWrap w:val="0"/>
              <w:spacing w:line="380" w:lineRule="atLeast"/>
              <w:jc w:val="center"/>
              <w:rPr>
                <w:b/>
                <w:szCs w:val="21"/>
              </w:rPr>
            </w:pPr>
            <w:r>
              <w:rPr>
                <w:b/>
                <w:szCs w:val="21"/>
              </w:rPr>
              <w:t>编列内容</w:t>
            </w:r>
          </w:p>
        </w:tc>
      </w:tr>
      <w:tr w14:paraId="40DE7B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89" w:type="dxa"/>
            <w:tcBorders>
              <w:top w:val="single" w:color="auto" w:sz="4" w:space="0"/>
              <w:right w:val="single" w:color="auto" w:sz="4" w:space="0"/>
            </w:tcBorders>
            <w:vAlign w:val="center"/>
          </w:tcPr>
          <w:p w14:paraId="3E6A83C4">
            <w:pPr>
              <w:wordWrap w:val="0"/>
              <w:spacing w:line="380" w:lineRule="atLeast"/>
              <w:jc w:val="center"/>
              <w:rPr>
                <w:szCs w:val="21"/>
              </w:rPr>
            </w:pPr>
            <w:r>
              <w:rPr>
                <w:szCs w:val="21"/>
              </w:rPr>
              <w:t>2.2.1</w:t>
            </w:r>
          </w:p>
        </w:tc>
        <w:tc>
          <w:tcPr>
            <w:tcW w:w="1583" w:type="dxa"/>
            <w:tcBorders>
              <w:top w:val="single" w:color="auto" w:sz="4" w:space="0"/>
              <w:right w:val="single" w:color="auto" w:sz="4" w:space="0"/>
            </w:tcBorders>
            <w:vAlign w:val="center"/>
          </w:tcPr>
          <w:p w14:paraId="174DC747">
            <w:pPr>
              <w:wordWrap w:val="0"/>
              <w:spacing w:line="380" w:lineRule="atLeast"/>
              <w:jc w:val="center"/>
              <w:rPr>
                <w:szCs w:val="21"/>
              </w:rPr>
            </w:pPr>
            <w:r>
              <w:rPr>
                <w:szCs w:val="21"/>
              </w:rPr>
              <w:t>第一个信封评分分值构成</w:t>
            </w:r>
          </w:p>
          <w:p w14:paraId="1DE2B6CD">
            <w:pPr>
              <w:wordWrap w:val="0"/>
              <w:spacing w:line="380" w:lineRule="atLeast"/>
              <w:ind w:left="-105" w:leftChars="-50" w:right="-105" w:rightChars="-50"/>
              <w:jc w:val="center"/>
              <w:rPr>
                <w:szCs w:val="21"/>
              </w:rPr>
            </w:pPr>
            <w:r>
              <w:rPr>
                <w:szCs w:val="21"/>
              </w:rPr>
              <w:t>（总分100分）</w:t>
            </w:r>
          </w:p>
        </w:tc>
        <w:tc>
          <w:tcPr>
            <w:tcW w:w="6319" w:type="dxa"/>
            <w:tcBorders>
              <w:top w:val="single" w:color="auto" w:sz="4" w:space="0"/>
              <w:left w:val="single" w:color="auto" w:sz="4" w:space="0"/>
              <w:right w:val="single" w:color="auto" w:sz="4" w:space="0"/>
            </w:tcBorders>
            <w:vAlign w:val="center"/>
          </w:tcPr>
          <w:p w14:paraId="1D8B9F4E">
            <w:pPr>
              <w:wordWrap w:val="0"/>
              <w:spacing w:line="360" w:lineRule="atLeast"/>
              <w:ind w:firstLine="420" w:firstLineChars="200"/>
              <w:rPr>
                <w:szCs w:val="21"/>
              </w:rPr>
            </w:pPr>
            <w:r>
              <w:rPr>
                <w:szCs w:val="21"/>
              </w:rPr>
              <w:t>施工组织设计：</w:t>
            </w:r>
            <w:r>
              <w:rPr>
                <w:rFonts w:hint="eastAsia"/>
                <w:szCs w:val="21"/>
                <w:u w:val="single"/>
              </w:rPr>
              <w:t>35</w:t>
            </w:r>
            <w:r>
              <w:rPr>
                <w:szCs w:val="21"/>
              </w:rPr>
              <w:t>分</w:t>
            </w:r>
          </w:p>
          <w:p w14:paraId="106B3C18">
            <w:pPr>
              <w:wordWrap w:val="0"/>
              <w:spacing w:line="360" w:lineRule="atLeast"/>
              <w:ind w:firstLine="420" w:firstLineChars="200"/>
              <w:rPr>
                <w:szCs w:val="21"/>
              </w:rPr>
            </w:pPr>
            <w:r>
              <w:rPr>
                <w:szCs w:val="21"/>
              </w:rPr>
              <w:t>主要人员：</w:t>
            </w:r>
            <w:r>
              <w:rPr>
                <w:rFonts w:hint="eastAsia"/>
                <w:szCs w:val="21"/>
                <w:u w:val="single"/>
              </w:rPr>
              <w:t>25</w:t>
            </w:r>
            <w:r>
              <w:rPr>
                <w:szCs w:val="21"/>
              </w:rPr>
              <w:t>分</w:t>
            </w:r>
          </w:p>
          <w:p w14:paraId="7CED2681">
            <w:pPr>
              <w:wordWrap w:val="0"/>
              <w:spacing w:line="360" w:lineRule="atLeast"/>
              <w:ind w:firstLine="420" w:firstLineChars="200"/>
              <w:rPr>
                <w:szCs w:val="21"/>
              </w:rPr>
            </w:pPr>
            <w:r>
              <w:rPr>
                <w:rFonts w:hint="eastAsia"/>
                <w:bCs/>
                <w:szCs w:val="21"/>
              </w:rPr>
              <w:t>其他因素：企业业绩：</w:t>
            </w:r>
            <w:r>
              <w:rPr>
                <w:rFonts w:hint="eastAsia"/>
                <w:szCs w:val="21"/>
                <w:u w:val="single"/>
              </w:rPr>
              <w:t>20</w:t>
            </w:r>
            <w:r>
              <w:rPr>
                <w:rFonts w:hint="eastAsia"/>
                <w:bCs/>
                <w:szCs w:val="21"/>
              </w:rPr>
              <w:t>分</w:t>
            </w:r>
          </w:p>
          <w:p w14:paraId="30EB0F23">
            <w:pPr>
              <w:wordWrap w:val="0"/>
              <w:spacing w:line="360" w:lineRule="atLeast"/>
              <w:ind w:firstLine="420" w:firstLineChars="200"/>
              <w:rPr>
                <w:szCs w:val="21"/>
              </w:rPr>
            </w:pPr>
            <w:r>
              <w:rPr>
                <w:szCs w:val="21"/>
              </w:rPr>
              <w:t>履约信誉：</w:t>
            </w:r>
            <w:r>
              <w:rPr>
                <w:rFonts w:hint="eastAsia"/>
                <w:szCs w:val="21"/>
                <w:u w:val="single"/>
              </w:rPr>
              <w:t>20</w:t>
            </w:r>
            <w:r>
              <w:rPr>
                <w:szCs w:val="21"/>
              </w:rPr>
              <w:t>分</w:t>
            </w:r>
          </w:p>
          <w:p w14:paraId="44B07753">
            <w:pPr>
              <w:wordWrap w:val="0"/>
              <w:spacing w:line="360" w:lineRule="atLeast"/>
              <w:rPr>
                <w:b/>
                <w:szCs w:val="21"/>
              </w:rPr>
            </w:pPr>
          </w:p>
        </w:tc>
      </w:tr>
      <w:tr w14:paraId="51F410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89" w:type="dxa"/>
            <w:tcBorders>
              <w:top w:val="single" w:color="auto" w:sz="4" w:space="0"/>
              <w:right w:val="single" w:color="auto" w:sz="4" w:space="0"/>
            </w:tcBorders>
            <w:vAlign w:val="center"/>
          </w:tcPr>
          <w:p w14:paraId="322846E3">
            <w:pPr>
              <w:wordWrap w:val="0"/>
              <w:spacing w:line="380" w:lineRule="atLeast"/>
              <w:jc w:val="center"/>
              <w:rPr>
                <w:szCs w:val="21"/>
              </w:rPr>
            </w:pPr>
            <w:r>
              <w:rPr>
                <w:szCs w:val="21"/>
              </w:rPr>
              <w:t>2.2.3</w:t>
            </w:r>
          </w:p>
        </w:tc>
        <w:tc>
          <w:tcPr>
            <w:tcW w:w="1583" w:type="dxa"/>
            <w:tcBorders>
              <w:top w:val="single" w:color="auto" w:sz="4" w:space="0"/>
              <w:right w:val="single" w:color="auto" w:sz="4" w:space="0"/>
            </w:tcBorders>
            <w:vAlign w:val="center"/>
          </w:tcPr>
          <w:p w14:paraId="4E344EA0">
            <w:pPr>
              <w:wordWrap w:val="0"/>
              <w:spacing w:line="380" w:lineRule="atLeast"/>
              <w:jc w:val="center"/>
              <w:rPr>
                <w:szCs w:val="21"/>
              </w:rPr>
            </w:pPr>
            <w:r>
              <w:rPr>
                <w:szCs w:val="21"/>
              </w:rPr>
              <w:t>第</w:t>
            </w:r>
            <w:r>
              <w:rPr>
                <w:rFonts w:hint="eastAsia"/>
                <w:szCs w:val="21"/>
              </w:rPr>
              <w:t>二</w:t>
            </w:r>
            <w:r>
              <w:rPr>
                <w:szCs w:val="21"/>
              </w:rPr>
              <w:t>个信封评分分值构成</w:t>
            </w:r>
            <w:r>
              <w:rPr>
                <w:rFonts w:hint="eastAsia"/>
                <w:szCs w:val="21"/>
              </w:rPr>
              <w:t>及</w:t>
            </w:r>
            <w:r>
              <w:rPr>
                <w:szCs w:val="21"/>
              </w:rPr>
              <w:t>详细评审标准（总分100分）</w:t>
            </w:r>
          </w:p>
        </w:tc>
        <w:tc>
          <w:tcPr>
            <w:tcW w:w="6319" w:type="dxa"/>
            <w:tcBorders>
              <w:top w:val="single" w:color="auto" w:sz="4" w:space="0"/>
              <w:left w:val="single" w:color="auto" w:sz="4" w:space="0"/>
              <w:right w:val="single" w:color="auto" w:sz="4" w:space="0"/>
            </w:tcBorders>
            <w:vAlign w:val="center"/>
          </w:tcPr>
          <w:p w14:paraId="47B93A00">
            <w:pPr>
              <w:wordWrap w:val="0"/>
              <w:spacing w:line="360" w:lineRule="atLeast"/>
              <w:rPr>
                <w:szCs w:val="21"/>
              </w:rPr>
            </w:pPr>
            <w:r>
              <w:rPr>
                <w:szCs w:val="21"/>
              </w:rPr>
              <w:t>评标价：100分</w:t>
            </w:r>
          </w:p>
          <w:p w14:paraId="27F2DEBA">
            <w:pPr>
              <w:wordWrap w:val="0"/>
              <w:spacing w:line="360" w:lineRule="atLeast"/>
              <w:rPr>
                <w:szCs w:val="21"/>
              </w:rPr>
            </w:pPr>
            <w:r>
              <w:rPr>
                <w:szCs w:val="21"/>
              </w:rPr>
              <w:t>评标价计算公式：</w:t>
            </w:r>
          </w:p>
          <w:p w14:paraId="2B575F69">
            <w:pPr>
              <w:wordWrap w:val="0"/>
              <w:spacing w:line="360" w:lineRule="atLeast"/>
              <w:ind w:firstLine="420" w:firstLineChars="200"/>
              <w:rPr>
                <w:szCs w:val="21"/>
              </w:rPr>
            </w:pPr>
            <w:r>
              <w:rPr>
                <w:rFonts w:hint="eastAsia"/>
                <w:szCs w:val="21"/>
              </w:rPr>
              <w:t>评标价计算公式:评标价</w:t>
            </w:r>
            <w:r>
              <w:rPr>
                <w:rFonts w:hint="eastAsia"/>
                <w:szCs w:val="21"/>
                <w:lang w:val="en-US" w:eastAsia="zh-CN"/>
              </w:rPr>
              <w:t>=</w:t>
            </w:r>
            <w:r>
              <w:rPr>
                <w:rFonts w:hint="eastAsia"/>
                <w:szCs w:val="21"/>
              </w:rPr>
              <w:t>投标函文字报价</w:t>
            </w:r>
          </w:p>
        </w:tc>
      </w:tr>
      <w:tr w14:paraId="10B738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89" w:type="dxa"/>
            <w:tcBorders>
              <w:top w:val="single" w:color="auto" w:sz="4" w:space="0"/>
              <w:right w:val="single" w:color="auto" w:sz="4" w:space="0"/>
            </w:tcBorders>
            <w:vAlign w:val="center"/>
          </w:tcPr>
          <w:p w14:paraId="1B35FB51">
            <w:pPr>
              <w:wordWrap w:val="0"/>
              <w:spacing w:line="380" w:lineRule="atLeast"/>
              <w:jc w:val="center"/>
              <w:rPr>
                <w:szCs w:val="21"/>
              </w:rPr>
            </w:pPr>
            <w:r>
              <w:rPr>
                <w:rFonts w:hint="eastAsia"/>
                <w:szCs w:val="21"/>
              </w:rPr>
              <w:t>2.2.4</w:t>
            </w:r>
          </w:p>
        </w:tc>
        <w:tc>
          <w:tcPr>
            <w:tcW w:w="1583" w:type="dxa"/>
            <w:tcBorders>
              <w:top w:val="single" w:color="auto" w:sz="4" w:space="0"/>
              <w:right w:val="single" w:color="auto" w:sz="4" w:space="0"/>
            </w:tcBorders>
            <w:vAlign w:val="center"/>
          </w:tcPr>
          <w:p w14:paraId="00F720A8">
            <w:pPr>
              <w:wordWrap w:val="0"/>
              <w:spacing w:line="380" w:lineRule="atLeast"/>
              <w:jc w:val="center"/>
              <w:rPr>
                <w:szCs w:val="21"/>
              </w:rPr>
            </w:pPr>
            <w:r>
              <w:rPr>
                <w:szCs w:val="21"/>
              </w:rPr>
              <w:t>评标基准价计算方法</w:t>
            </w:r>
          </w:p>
        </w:tc>
        <w:tc>
          <w:tcPr>
            <w:tcW w:w="6319" w:type="dxa"/>
            <w:tcBorders>
              <w:top w:val="single" w:color="auto" w:sz="4" w:space="0"/>
              <w:left w:val="single" w:color="auto" w:sz="4" w:space="0"/>
              <w:right w:val="single" w:color="auto" w:sz="4" w:space="0"/>
            </w:tcBorders>
            <w:vAlign w:val="center"/>
          </w:tcPr>
          <w:p w14:paraId="23AC726C">
            <w:pPr>
              <w:widowControl/>
              <w:spacing w:line="360" w:lineRule="exact"/>
              <w:ind w:firstLine="420" w:firstLineChars="200"/>
              <w:jc w:val="left"/>
              <w:rPr>
                <w:kern w:val="0"/>
                <w:szCs w:val="21"/>
                <w:lang w:bidi="ar"/>
              </w:rPr>
            </w:pPr>
            <w:r>
              <w:rPr>
                <w:rFonts w:hint="eastAsia"/>
                <w:kern w:val="0"/>
                <w:szCs w:val="21"/>
                <w:lang w:bidi="ar"/>
              </w:rPr>
              <w:t>在开标现场，招标人将当场计算并宣布各标段评标基准价。在评标过程中，评标委员会将对招标人计算的评标基准价进行复核，存在计算错误的应予以修正并在评标报告中作出说明。除此之外，评标基准价在整个评标期间保持不变，不随任何因素发生变化。</w:t>
            </w:r>
          </w:p>
          <w:p w14:paraId="29AE6537">
            <w:pPr>
              <w:widowControl/>
              <w:spacing w:line="360" w:lineRule="exact"/>
              <w:ind w:firstLine="420" w:firstLineChars="200"/>
              <w:jc w:val="left"/>
              <w:rPr>
                <w:kern w:val="0"/>
                <w:szCs w:val="21"/>
                <w:lang w:bidi="ar"/>
              </w:rPr>
            </w:pPr>
            <w:r>
              <w:rPr>
                <w:kern w:val="0"/>
                <w:szCs w:val="21"/>
                <w:lang w:bidi="ar"/>
              </w:rPr>
              <w:t>计算差错，仅限于以下两种情况：</w:t>
            </w:r>
            <w:r>
              <w:rPr>
                <w:rFonts w:hint="eastAsia"/>
                <w:kern w:val="0"/>
                <w:szCs w:val="21"/>
                <w:lang w:bidi="ar"/>
              </w:rPr>
              <w:t>1、</w:t>
            </w:r>
            <w:r>
              <w:rPr>
                <w:kern w:val="0"/>
                <w:szCs w:val="21"/>
                <w:lang w:bidi="ar"/>
              </w:rPr>
              <w:t>纯算术性四则运算差错；</w:t>
            </w:r>
            <w:r>
              <w:rPr>
                <w:rFonts w:hint="eastAsia"/>
                <w:kern w:val="0"/>
                <w:szCs w:val="21"/>
                <w:lang w:bidi="ar"/>
              </w:rPr>
              <w:t>2、</w:t>
            </w:r>
            <w:r>
              <w:rPr>
                <w:kern w:val="0"/>
                <w:szCs w:val="21"/>
                <w:lang w:bidi="ar"/>
              </w:rPr>
              <w:t>未按约定的</w:t>
            </w:r>
            <w:r>
              <w:rPr>
                <w:rFonts w:hint="eastAsia"/>
                <w:kern w:val="0"/>
                <w:szCs w:val="21"/>
                <w:lang w:bidi="ar"/>
              </w:rPr>
              <w:t>规则</w:t>
            </w:r>
            <w:r>
              <w:rPr>
                <w:kern w:val="0"/>
                <w:szCs w:val="21"/>
                <w:lang w:bidi="ar"/>
              </w:rPr>
              <w:t>，多计或少计</w:t>
            </w:r>
            <w:r>
              <w:rPr>
                <w:rFonts w:hint="eastAsia"/>
                <w:kern w:val="0"/>
                <w:szCs w:val="21"/>
                <w:lang w:bidi="ar"/>
              </w:rPr>
              <w:t>参加评标价平均值计算的评标价</w:t>
            </w:r>
            <w:r>
              <w:rPr>
                <w:kern w:val="0"/>
                <w:szCs w:val="21"/>
                <w:lang w:bidi="ar"/>
              </w:rPr>
              <w:t>。</w:t>
            </w:r>
          </w:p>
          <w:p w14:paraId="226DB501">
            <w:pPr>
              <w:widowControl/>
              <w:spacing w:line="360" w:lineRule="exact"/>
              <w:ind w:firstLine="420" w:firstLineChars="200"/>
              <w:jc w:val="left"/>
            </w:pPr>
            <w:r>
              <w:rPr>
                <w:rFonts w:hint="eastAsia"/>
              </w:rPr>
              <w:t>本次招标设定</w:t>
            </w:r>
            <w:r>
              <w:t>3</w:t>
            </w:r>
            <w:r>
              <w:rPr>
                <w:rFonts w:hint="eastAsia"/>
              </w:rPr>
              <w:t>种评标价平均值（B）计算方法，在第二个信封（报价文件）开标现场，每个标段随机抽取其中1种作为该标段的评标价平均值计算方法。</w:t>
            </w:r>
          </w:p>
          <w:p w14:paraId="65C5A42A">
            <w:pPr>
              <w:widowControl/>
              <w:spacing w:line="360" w:lineRule="exact"/>
              <w:ind w:firstLine="422" w:firstLineChars="200"/>
              <w:jc w:val="left"/>
              <w:rPr>
                <w:b/>
                <w:bCs/>
              </w:rPr>
            </w:pPr>
            <w:r>
              <w:rPr>
                <w:rFonts w:hint="eastAsia"/>
                <w:b/>
                <w:bCs/>
                <w:kern w:val="0"/>
                <w:szCs w:val="21"/>
                <w:lang w:bidi="ar"/>
              </w:rPr>
              <w:t>一、</w:t>
            </w:r>
            <w:r>
              <w:rPr>
                <w:b/>
                <w:bCs/>
                <w:kern w:val="0"/>
                <w:szCs w:val="21"/>
                <w:lang w:bidi="ar"/>
              </w:rPr>
              <w:t>评标价</w:t>
            </w:r>
            <w:r>
              <w:rPr>
                <w:rFonts w:hint="eastAsia"/>
                <w:b/>
                <w:bCs/>
                <w:kern w:val="0"/>
                <w:szCs w:val="21"/>
                <w:lang w:bidi="ar"/>
              </w:rPr>
              <w:t>（A）</w:t>
            </w:r>
          </w:p>
          <w:p w14:paraId="6A37DBAD">
            <w:pPr>
              <w:widowControl/>
              <w:spacing w:line="360" w:lineRule="exact"/>
              <w:ind w:firstLine="420" w:firstLineChars="200"/>
              <w:jc w:val="left"/>
            </w:pPr>
            <w:r>
              <w:rPr>
                <w:kern w:val="0"/>
                <w:szCs w:val="21"/>
                <w:lang w:bidi="ar"/>
              </w:rPr>
              <w:t>评标价=投标函的文字报价</w:t>
            </w:r>
          </w:p>
          <w:p w14:paraId="7BF35A1B">
            <w:pPr>
              <w:widowControl/>
              <w:spacing w:line="360" w:lineRule="exact"/>
              <w:ind w:firstLine="420" w:firstLineChars="200"/>
              <w:jc w:val="left"/>
              <w:rPr>
                <w:kern w:val="0"/>
                <w:szCs w:val="21"/>
                <w:lang w:bidi="ar"/>
              </w:rPr>
            </w:pPr>
            <w:r>
              <w:rPr>
                <w:rFonts w:hint="eastAsia"/>
                <w:kern w:val="0"/>
                <w:szCs w:val="21"/>
                <w:lang w:bidi="ar"/>
              </w:rPr>
              <w:t>如果投标文件出现以下1～5任一情况，不参加评标价平均值的计算：</w:t>
            </w:r>
          </w:p>
          <w:p w14:paraId="41D4AAFB">
            <w:pPr>
              <w:widowControl/>
              <w:spacing w:line="360" w:lineRule="exact"/>
              <w:ind w:firstLine="420" w:firstLineChars="200"/>
              <w:jc w:val="left"/>
              <w:rPr>
                <w:kern w:val="0"/>
                <w:szCs w:val="21"/>
                <w:lang w:bidi="ar"/>
              </w:rPr>
            </w:pPr>
            <w:r>
              <w:rPr>
                <w:rFonts w:hint="eastAsia"/>
                <w:kern w:val="0"/>
                <w:szCs w:val="21"/>
                <w:lang w:bidi="ar"/>
              </w:rPr>
              <w:t>1、未按要求在投标函上填写投标总价；</w:t>
            </w:r>
          </w:p>
          <w:p w14:paraId="16B02BB0">
            <w:pPr>
              <w:widowControl/>
              <w:spacing w:line="360" w:lineRule="exact"/>
              <w:ind w:firstLine="420" w:firstLineChars="200"/>
              <w:jc w:val="left"/>
              <w:rPr>
                <w:rFonts w:eastAsia="黑体"/>
                <w:kern w:val="0"/>
                <w:szCs w:val="21"/>
                <w:lang w:bidi="ar"/>
              </w:rPr>
            </w:pPr>
            <w:r>
              <w:rPr>
                <w:kern w:val="0"/>
                <w:szCs w:val="21"/>
                <w:lang w:bidi="ar"/>
              </w:rPr>
              <w:t>2</w:t>
            </w:r>
            <w:r>
              <w:rPr>
                <w:rFonts w:hint="eastAsia"/>
                <w:kern w:val="0"/>
                <w:szCs w:val="21"/>
                <w:lang w:bidi="ar"/>
              </w:rPr>
              <w:t>、投标报价超出招标人公布的最高投标限价，或低于招标人公布的最高投标限价的</w:t>
            </w:r>
            <w:r>
              <w:rPr>
                <w:rFonts w:hint="eastAsia"/>
                <w:kern w:val="0"/>
                <w:szCs w:val="21"/>
                <w:u w:val="single"/>
                <w:lang w:bidi="ar"/>
              </w:rPr>
              <w:t>G</w:t>
            </w:r>
            <w:r>
              <w:rPr>
                <w:kern w:val="0"/>
                <w:szCs w:val="21"/>
                <w:lang w:bidi="ar"/>
              </w:rPr>
              <w:t>%</w:t>
            </w:r>
            <w:r>
              <w:rPr>
                <w:rFonts w:hint="eastAsia"/>
                <w:kern w:val="0"/>
                <w:szCs w:val="21"/>
                <w:lang w:bidi="ar"/>
              </w:rPr>
              <w:t>；</w:t>
            </w:r>
            <w:r>
              <w:rPr>
                <w:rFonts w:eastAsia="黑体"/>
                <w:kern w:val="0"/>
                <w:szCs w:val="21"/>
                <w:lang w:bidi="ar"/>
              </w:rPr>
              <w:t>（注：由招标人在招标文件中约定低于投标最高限价一定范围值的投标报价不参与评标基准价的计算，G%原则上在85%～90%之间取值。）</w:t>
            </w:r>
          </w:p>
          <w:p w14:paraId="7F88C3DE">
            <w:pPr>
              <w:widowControl/>
              <w:spacing w:line="360" w:lineRule="exact"/>
              <w:ind w:firstLine="420" w:firstLineChars="200"/>
              <w:jc w:val="left"/>
              <w:rPr>
                <w:kern w:val="0"/>
                <w:szCs w:val="21"/>
                <w:lang w:bidi="ar"/>
              </w:rPr>
            </w:pPr>
            <w:r>
              <w:rPr>
                <w:kern w:val="0"/>
                <w:szCs w:val="21"/>
                <w:lang w:bidi="ar"/>
              </w:rPr>
              <w:t>3</w:t>
            </w:r>
            <w:r>
              <w:rPr>
                <w:rFonts w:hint="eastAsia"/>
                <w:kern w:val="0"/>
                <w:szCs w:val="21"/>
                <w:lang w:bidi="ar"/>
              </w:rPr>
              <w:t>、无法确定投标报价具体数值；</w:t>
            </w:r>
          </w:p>
          <w:p w14:paraId="3CCF200C">
            <w:pPr>
              <w:widowControl/>
              <w:spacing w:line="360" w:lineRule="exact"/>
              <w:ind w:firstLine="420" w:firstLineChars="200"/>
              <w:jc w:val="left"/>
              <w:rPr>
                <w:kern w:val="0"/>
                <w:szCs w:val="21"/>
                <w:lang w:bidi="ar"/>
              </w:rPr>
            </w:pPr>
            <w:r>
              <w:rPr>
                <w:kern w:val="0"/>
                <w:szCs w:val="21"/>
                <w:lang w:bidi="ar"/>
              </w:rPr>
              <w:t>4</w:t>
            </w:r>
            <w:r>
              <w:rPr>
                <w:rFonts w:hint="eastAsia"/>
                <w:kern w:val="0"/>
                <w:szCs w:val="21"/>
                <w:lang w:bidi="ar"/>
              </w:rPr>
              <w:t>、投标函上填写的标段号与上传的对应项目标段号不一致（如分标段）；</w:t>
            </w:r>
          </w:p>
          <w:p w14:paraId="710D44B2">
            <w:pPr>
              <w:widowControl/>
              <w:spacing w:line="360" w:lineRule="exact"/>
              <w:ind w:firstLine="420" w:firstLineChars="200"/>
              <w:jc w:val="left"/>
              <w:rPr>
                <w:kern w:val="0"/>
                <w:szCs w:val="21"/>
                <w:lang w:bidi="ar"/>
              </w:rPr>
            </w:pPr>
            <w:r>
              <w:rPr>
                <w:kern w:val="0"/>
                <w:szCs w:val="21"/>
                <w:lang w:bidi="ar"/>
              </w:rPr>
              <w:t>5</w:t>
            </w:r>
            <w:r>
              <w:rPr>
                <w:rFonts w:hint="eastAsia"/>
                <w:kern w:val="0"/>
                <w:szCs w:val="21"/>
                <w:lang w:bidi="ar"/>
              </w:rPr>
              <w:t>、投标函中的投标报价大写金额与投标文件工程量清单中的投标报价金额不一致。</w:t>
            </w:r>
          </w:p>
          <w:p w14:paraId="251166CA">
            <w:pPr>
              <w:widowControl/>
              <w:spacing w:line="360" w:lineRule="exact"/>
              <w:ind w:firstLine="420" w:firstLineChars="200"/>
              <w:jc w:val="left"/>
            </w:pPr>
            <w:r>
              <w:rPr>
                <w:rFonts w:hint="eastAsia"/>
                <w:kern w:val="0"/>
                <w:szCs w:val="21"/>
                <w:lang w:bidi="ar"/>
              </w:rPr>
              <w:t>投标文件存在以上1～5任一情况，但招标人在第二个信封（报价文件）开标现场未发现的，视为计算过程中基础数据取用错误，由评标委员会在评标过程中予以修正。投标文件未出现以上1～5情况的，均参加评标价平均值的计算。</w:t>
            </w:r>
          </w:p>
          <w:p w14:paraId="27A10C41">
            <w:pPr>
              <w:widowControl/>
              <w:spacing w:line="360" w:lineRule="exact"/>
              <w:ind w:firstLine="422" w:firstLineChars="200"/>
              <w:jc w:val="left"/>
              <w:rPr>
                <w:b/>
                <w:bCs/>
                <w:kern w:val="0"/>
                <w:szCs w:val="21"/>
                <w:lang w:bidi="ar"/>
              </w:rPr>
            </w:pPr>
            <w:r>
              <w:rPr>
                <w:rFonts w:hint="eastAsia"/>
                <w:b/>
                <w:bCs/>
                <w:kern w:val="0"/>
                <w:szCs w:val="21"/>
                <w:lang w:bidi="ar"/>
              </w:rPr>
              <w:t>二、评标价平均值（B）计算方法1</w:t>
            </w:r>
          </w:p>
          <w:p w14:paraId="685FEE48">
            <w:pPr>
              <w:widowControl/>
              <w:spacing w:line="360" w:lineRule="exact"/>
              <w:ind w:firstLine="420" w:firstLineChars="200"/>
              <w:jc w:val="left"/>
              <w:rPr>
                <w:kern w:val="0"/>
                <w:szCs w:val="21"/>
                <w:lang w:bidi="ar"/>
              </w:rPr>
            </w:pPr>
            <w:r>
              <w:rPr>
                <w:rFonts w:hint="eastAsia"/>
                <w:kern w:val="0"/>
                <w:szCs w:val="21"/>
                <w:lang w:bidi="ar"/>
              </w:rPr>
              <w:t>C为招标人设定的最高投标限价，如果所有评标价均低于</w:t>
            </w:r>
            <w:r>
              <w:rPr>
                <w:rFonts w:hint="eastAsia"/>
                <w:kern w:val="0"/>
                <w:szCs w:val="21"/>
                <w:u w:val="single"/>
                <w:lang w:bidi="ar"/>
              </w:rPr>
              <w:t>G</w:t>
            </w:r>
            <w:r>
              <w:rPr>
                <w:kern w:val="0"/>
                <w:szCs w:val="21"/>
                <w:lang w:bidi="ar"/>
              </w:rPr>
              <w:t>%</w:t>
            </w:r>
            <w:r>
              <w:rPr>
                <w:rFonts w:hint="eastAsia"/>
                <w:kern w:val="0"/>
                <w:szCs w:val="21"/>
                <w:lang w:bidi="ar"/>
              </w:rPr>
              <w:t>*C值（最高投标限价的</w:t>
            </w:r>
            <w:r>
              <w:rPr>
                <w:rFonts w:hint="eastAsia"/>
                <w:kern w:val="0"/>
                <w:szCs w:val="21"/>
                <w:u w:val="single"/>
                <w:lang w:bidi="ar"/>
              </w:rPr>
              <w:t>G</w:t>
            </w:r>
            <w:r>
              <w:rPr>
                <w:kern w:val="0"/>
                <w:szCs w:val="21"/>
                <w:lang w:bidi="ar"/>
              </w:rPr>
              <w:t>%</w:t>
            </w:r>
            <w:r>
              <w:rPr>
                <w:rFonts w:hint="eastAsia"/>
                <w:kern w:val="0"/>
                <w:szCs w:val="21"/>
                <w:lang w:bidi="ar"/>
              </w:rPr>
              <w:t>），则评标价平均值（B）直接为</w:t>
            </w:r>
            <w:r>
              <w:rPr>
                <w:rFonts w:hint="eastAsia"/>
                <w:kern w:val="0"/>
                <w:szCs w:val="21"/>
                <w:u w:val="single"/>
                <w:lang w:bidi="ar"/>
              </w:rPr>
              <w:t>G</w:t>
            </w:r>
            <w:r>
              <w:rPr>
                <w:kern w:val="0"/>
                <w:szCs w:val="21"/>
                <w:u w:val="single"/>
                <w:lang w:bidi="ar"/>
              </w:rPr>
              <w:t>%</w:t>
            </w:r>
            <w:r>
              <w:rPr>
                <w:rFonts w:hint="eastAsia"/>
                <w:kern w:val="0"/>
                <w:szCs w:val="21"/>
                <w:lang w:bidi="ar"/>
              </w:rPr>
              <w:t>*C值（最高投标限价的</w:t>
            </w:r>
            <w:r>
              <w:rPr>
                <w:rFonts w:hint="eastAsia"/>
                <w:kern w:val="0"/>
                <w:szCs w:val="21"/>
                <w:u w:val="single"/>
                <w:lang w:bidi="ar"/>
              </w:rPr>
              <w:t>G</w:t>
            </w:r>
            <w:r>
              <w:rPr>
                <w:kern w:val="0"/>
                <w:szCs w:val="21"/>
                <w:u w:val="single"/>
                <w:lang w:bidi="ar"/>
              </w:rPr>
              <w:t>%</w:t>
            </w:r>
            <w:r>
              <w:rPr>
                <w:rFonts w:hint="eastAsia"/>
                <w:kern w:val="0"/>
                <w:szCs w:val="21"/>
                <w:lang w:bidi="ar"/>
              </w:rPr>
              <w:t>）。否则，按以下方式计算评标价平均值（B）：</w:t>
            </w:r>
          </w:p>
          <w:p w14:paraId="434523BC">
            <w:pPr>
              <w:widowControl/>
              <w:spacing w:line="360" w:lineRule="exact"/>
              <w:ind w:firstLine="420" w:firstLineChars="200"/>
              <w:jc w:val="left"/>
              <w:rPr>
                <w:kern w:val="0"/>
                <w:szCs w:val="21"/>
                <w:lang w:bidi="ar"/>
              </w:rPr>
            </w:pPr>
            <w:r>
              <w:rPr>
                <w:kern w:val="0"/>
                <w:szCs w:val="21"/>
                <w:lang w:bidi="ar"/>
              </w:rPr>
              <w:t>1</w:t>
            </w:r>
            <w:r>
              <w:rPr>
                <w:rFonts w:hint="eastAsia"/>
                <w:kern w:val="0"/>
                <w:szCs w:val="21"/>
                <w:lang w:bidi="ar"/>
              </w:rPr>
              <w:t>、评标价初始平均值（B</w:t>
            </w:r>
            <w:r>
              <w:rPr>
                <w:kern w:val="0"/>
                <w:szCs w:val="21"/>
                <w:lang w:bidi="ar"/>
              </w:rPr>
              <w:t>1</w:t>
            </w:r>
            <w:r>
              <w:rPr>
                <w:rFonts w:hint="eastAsia"/>
                <w:kern w:val="0"/>
                <w:szCs w:val="21"/>
                <w:lang w:bidi="ar"/>
              </w:rPr>
              <w:t>）</w:t>
            </w:r>
          </w:p>
          <w:p w14:paraId="4E78CC7F">
            <w:pPr>
              <w:widowControl/>
              <w:spacing w:line="360" w:lineRule="exact"/>
              <w:ind w:firstLine="420" w:firstLineChars="200"/>
              <w:jc w:val="left"/>
              <w:rPr>
                <w:kern w:val="0"/>
                <w:szCs w:val="21"/>
                <w:lang w:bidi="ar"/>
              </w:rPr>
            </w:pPr>
            <w:r>
              <w:rPr>
                <w:rFonts w:hint="eastAsia"/>
                <w:kern w:val="0"/>
                <w:szCs w:val="21"/>
                <w:lang w:bidi="ar"/>
              </w:rPr>
              <w:t>所有参加评标价平均值计算的评标价的算术平均值为评标价初始平均值B</w:t>
            </w:r>
            <w:r>
              <w:rPr>
                <w:kern w:val="0"/>
                <w:szCs w:val="21"/>
                <w:lang w:bidi="ar"/>
              </w:rPr>
              <w:t>1</w:t>
            </w:r>
            <w:r>
              <w:rPr>
                <w:rFonts w:hint="eastAsia"/>
                <w:kern w:val="0"/>
                <w:szCs w:val="21"/>
                <w:lang w:bidi="ar"/>
              </w:rPr>
              <w:t>。</w:t>
            </w:r>
          </w:p>
          <w:p w14:paraId="0B49FEE1">
            <w:pPr>
              <w:widowControl/>
              <w:spacing w:line="360" w:lineRule="exact"/>
              <w:ind w:firstLine="420" w:firstLineChars="200"/>
              <w:jc w:val="left"/>
              <w:rPr>
                <w:kern w:val="0"/>
                <w:szCs w:val="21"/>
                <w:lang w:bidi="ar"/>
              </w:rPr>
            </w:pPr>
            <w:r>
              <w:rPr>
                <w:rFonts w:hint="eastAsia"/>
                <w:kern w:val="0"/>
                <w:szCs w:val="21"/>
                <w:lang w:bidi="ar"/>
              </w:rPr>
              <w:t>评标价初始平均值（B</w:t>
            </w:r>
            <w:r>
              <w:rPr>
                <w:kern w:val="0"/>
                <w:szCs w:val="21"/>
                <w:lang w:bidi="ar"/>
              </w:rPr>
              <w:t>1</w:t>
            </w:r>
            <w:r>
              <w:rPr>
                <w:rFonts w:hint="eastAsia"/>
                <w:kern w:val="0"/>
                <w:szCs w:val="21"/>
                <w:lang w:bidi="ar"/>
              </w:rPr>
              <w:t>）保留七位小数，小数点后第八位</w:t>
            </w:r>
            <w:r>
              <w:rPr>
                <w:rFonts w:hint="eastAsia" w:cs="宋体"/>
                <w:kern w:val="0"/>
                <w:szCs w:val="21"/>
                <w:lang w:bidi="ar"/>
              </w:rPr>
              <w:t>“</w:t>
            </w:r>
            <w:r>
              <w:rPr>
                <w:rFonts w:hint="eastAsia"/>
                <w:kern w:val="0"/>
                <w:szCs w:val="21"/>
                <w:lang w:bidi="ar"/>
              </w:rPr>
              <w:t>四舍五入</w:t>
            </w:r>
            <w:r>
              <w:rPr>
                <w:rFonts w:hint="eastAsia" w:cs="宋体"/>
                <w:kern w:val="0"/>
                <w:szCs w:val="21"/>
                <w:lang w:bidi="ar"/>
              </w:rPr>
              <w:t>”</w:t>
            </w:r>
            <w:r>
              <w:rPr>
                <w:rFonts w:hint="eastAsia"/>
                <w:kern w:val="0"/>
                <w:szCs w:val="21"/>
                <w:lang w:bidi="ar"/>
              </w:rPr>
              <w:t>。</w:t>
            </w:r>
          </w:p>
          <w:p w14:paraId="30C3AFF1">
            <w:pPr>
              <w:widowControl/>
              <w:spacing w:line="360" w:lineRule="exact"/>
              <w:ind w:firstLine="420" w:firstLineChars="200"/>
              <w:jc w:val="left"/>
              <w:rPr>
                <w:kern w:val="0"/>
                <w:szCs w:val="21"/>
                <w:lang w:bidi="ar"/>
              </w:rPr>
            </w:pPr>
            <w:r>
              <w:rPr>
                <w:kern w:val="0"/>
                <w:szCs w:val="21"/>
                <w:lang w:bidi="ar"/>
              </w:rPr>
              <w:t>2</w:t>
            </w:r>
            <w:r>
              <w:rPr>
                <w:rFonts w:hint="eastAsia"/>
                <w:kern w:val="0"/>
                <w:szCs w:val="21"/>
                <w:lang w:bidi="ar"/>
              </w:rPr>
              <w:t>、评标价区段平均值（B</w:t>
            </w:r>
            <w:r>
              <w:rPr>
                <w:kern w:val="0"/>
                <w:szCs w:val="21"/>
                <w:lang w:bidi="ar"/>
              </w:rPr>
              <w:t>2</w:t>
            </w:r>
            <w:r>
              <w:rPr>
                <w:rFonts w:hint="eastAsia"/>
                <w:kern w:val="0"/>
                <w:szCs w:val="21"/>
                <w:lang w:bidi="ar"/>
              </w:rPr>
              <w:t>）</w:t>
            </w:r>
          </w:p>
          <w:p w14:paraId="5E417ED9">
            <w:pPr>
              <w:widowControl/>
              <w:spacing w:line="360" w:lineRule="exact"/>
              <w:ind w:firstLine="420" w:firstLineChars="200"/>
              <w:jc w:val="left"/>
              <w:rPr>
                <w:kern w:val="0"/>
                <w:szCs w:val="21"/>
                <w:lang w:bidi="ar"/>
              </w:rPr>
            </w:pPr>
            <w:r>
              <w:rPr>
                <w:kern w:val="0"/>
                <w:szCs w:val="21"/>
                <w:lang w:bidi="ar"/>
              </w:rPr>
              <w:t>根据下述区段计算</w:t>
            </w:r>
            <w:r>
              <w:rPr>
                <w:rFonts w:hint="eastAsia"/>
                <w:kern w:val="0"/>
                <w:szCs w:val="21"/>
                <w:lang w:bidi="ar"/>
              </w:rPr>
              <w:t>评标价</w:t>
            </w:r>
            <w:r>
              <w:rPr>
                <w:kern w:val="0"/>
                <w:szCs w:val="21"/>
                <w:lang w:bidi="ar"/>
              </w:rPr>
              <w:t>区段平均值</w:t>
            </w:r>
            <w:r>
              <w:rPr>
                <w:rFonts w:hint="eastAsia"/>
                <w:kern w:val="0"/>
                <w:szCs w:val="21"/>
                <w:lang w:bidi="ar"/>
              </w:rPr>
              <w:t>（</w:t>
            </w:r>
            <w:r>
              <w:rPr>
                <w:szCs w:val="21"/>
              </w:rPr>
              <w:t>B2.1</w:t>
            </w:r>
            <w:r>
              <w:rPr>
                <w:rFonts w:hint="eastAsia"/>
                <w:szCs w:val="21"/>
              </w:rPr>
              <w:t>、</w:t>
            </w:r>
            <w:r>
              <w:rPr>
                <w:szCs w:val="21"/>
              </w:rPr>
              <w:t>B2.2</w:t>
            </w:r>
            <w:r>
              <w:rPr>
                <w:rFonts w:hint="eastAsia"/>
                <w:szCs w:val="21"/>
              </w:rPr>
              <w:t>、……、</w:t>
            </w:r>
            <w:r>
              <w:rPr>
                <w:szCs w:val="21"/>
              </w:rPr>
              <w:t>B2.15</w:t>
            </w:r>
            <w:r>
              <w:rPr>
                <w:rFonts w:hint="eastAsia"/>
                <w:szCs w:val="21"/>
              </w:rPr>
              <w:t>、</w:t>
            </w:r>
            <w:r>
              <w:rPr>
                <w:szCs w:val="21"/>
              </w:rPr>
              <w:t>B2.16</w:t>
            </w:r>
            <w:r>
              <w:rPr>
                <w:rFonts w:hint="eastAsia"/>
                <w:kern w:val="0"/>
                <w:szCs w:val="21"/>
                <w:lang w:bidi="ar"/>
              </w:rPr>
              <w:t>），各</w:t>
            </w:r>
            <w:r>
              <w:rPr>
                <w:kern w:val="0"/>
                <w:szCs w:val="21"/>
                <w:lang w:bidi="ar"/>
              </w:rPr>
              <w:t>区段</w:t>
            </w:r>
            <w:r>
              <w:rPr>
                <w:rFonts w:hint="eastAsia"/>
                <w:kern w:val="0"/>
                <w:szCs w:val="21"/>
                <w:lang w:bidi="ar"/>
              </w:rPr>
              <w:t>平均值为该区段内</w:t>
            </w:r>
            <w:r>
              <w:rPr>
                <w:kern w:val="0"/>
                <w:szCs w:val="21"/>
                <w:lang w:bidi="ar"/>
              </w:rPr>
              <w:t>各评标价的算术平均值</w:t>
            </w:r>
            <w:r>
              <w:rPr>
                <w:rFonts w:hint="eastAsia"/>
                <w:kern w:val="0"/>
                <w:szCs w:val="21"/>
                <w:lang w:bidi="ar"/>
              </w:rPr>
              <w:t>。如：B2.2为</w:t>
            </w:r>
            <w:r>
              <w:rPr>
                <w:rFonts w:hint="eastAsia" w:cs="宋体"/>
                <w:kern w:val="0"/>
                <w:szCs w:val="21"/>
                <w:lang w:bidi="ar"/>
              </w:rPr>
              <w:t>“</w:t>
            </w:r>
            <w:r>
              <w:rPr>
                <w:rFonts w:hint="eastAsia"/>
                <w:kern w:val="0"/>
                <w:szCs w:val="21"/>
                <w:lang w:bidi="ar"/>
              </w:rPr>
              <w:t>1.03*B1（不含）～1.035*B1（含）</w:t>
            </w:r>
            <w:r>
              <w:rPr>
                <w:rFonts w:hint="eastAsia" w:cs="宋体"/>
                <w:kern w:val="0"/>
                <w:szCs w:val="21"/>
                <w:lang w:bidi="ar"/>
              </w:rPr>
              <w:t>”</w:t>
            </w:r>
            <w:r>
              <w:rPr>
                <w:rFonts w:hint="eastAsia"/>
                <w:kern w:val="0"/>
                <w:szCs w:val="21"/>
                <w:lang w:bidi="ar"/>
              </w:rPr>
              <w:t>范围内的所有评标价的算术平均值。评标价区段平均值（B</w:t>
            </w:r>
            <w:r>
              <w:rPr>
                <w:kern w:val="0"/>
                <w:szCs w:val="21"/>
                <w:lang w:bidi="ar"/>
              </w:rPr>
              <w:t>2</w:t>
            </w:r>
            <w:r>
              <w:rPr>
                <w:rFonts w:hint="eastAsia"/>
                <w:kern w:val="0"/>
                <w:szCs w:val="21"/>
                <w:lang w:bidi="ar"/>
              </w:rPr>
              <w:t>）保留七位小数，小数点后第八位</w:t>
            </w:r>
            <w:r>
              <w:rPr>
                <w:rFonts w:hint="eastAsia" w:cs="宋体"/>
                <w:kern w:val="0"/>
                <w:szCs w:val="21"/>
                <w:lang w:bidi="ar"/>
              </w:rPr>
              <w:t>“</w:t>
            </w:r>
            <w:r>
              <w:rPr>
                <w:rFonts w:hint="eastAsia"/>
                <w:kern w:val="0"/>
                <w:szCs w:val="21"/>
                <w:lang w:bidi="ar"/>
              </w:rPr>
              <w:t>四舍五入</w:t>
            </w:r>
            <w:r>
              <w:rPr>
                <w:rFonts w:hint="eastAsia" w:cs="宋体"/>
                <w:kern w:val="0"/>
                <w:szCs w:val="21"/>
                <w:lang w:bidi="ar"/>
              </w:rPr>
              <w:t>”</w:t>
            </w:r>
            <w:r>
              <w:rPr>
                <w:rFonts w:hint="eastAsia"/>
                <w:kern w:val="0"/>
                <w:szCs w:val="21"/>
                <w:lang w:bidi="ar"/>
              </w:rPr>
              <w:t>。</w:t>
            </w:r>
          </w:p>
          <w:tbl>
            <w:tblPr>
              <w:tblStyle w:val="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13"/>
              <w:gridCol w:w="2280"/>
            </w:tblGrid>
            <w:tr w14:paraId="2616D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8" w:type="pct"/>
                  <w:vAlign w:val="center"/>
                </w:tcPr>
                <w:p w14:paraId="11AC43EB">
                  <w:pPr>
                    <w:widowControl/>
                    <w:spacing w:line="360" w:lineRule="exact"/>
                    <w:ind w:firstLine="420" w:firstLineChars="200"/>
                    <w:jc w:val="left"/>
                  </w:pPr>
                  <w:r>
                    <w:rPr>
                      <w:kern w:val="0"/>
                      <w:szCs w:val="21"/>
                      <w:lang w:bidi="ar"/>
                    </w:rPr>
                    <w:t>区段</w:t>
                  </w:r>
                </w:p>
              </w:tc>
              <w:tc>
                <w:tcPr>
                  <w:tcW w:w="1871" w:type="pct"/>
                  <w:vAlign w:val="center"/>
                </w:tcPr>
                <w:p w14:paraId="18B6563B">
                  <w:pPr>
                    <w:widowControl/>
                    <w:spacing w:line="360" w:lineRule="exact"/>
                    <w:ind w:firstLine="420" w:firstLineChars="200"/>
                    <w:jc w:val="left"/>
                  </w:pPr>
                  <w:r>
                    <w:rPr>
                      <w:kern w:val="0"/>
                      <w:szCs w:val="21"/>
                      <w:lang w:bidi="ar"/>
                    </w:rPr>
                    <w:t>区段平均值</w:t>
                  </w:r>
                  <w:r>
                    <w:rPr>
                      <w:rFonts w:hint="eastAsia"/>
                      <w:kern w:val="0"/>
                      <w:szCs w:val="21"/>
                      <w:lang w:bidi="ar"/>
                    </w:rPr>
                    <w:t>（B</w:t>
                  </w:r>
                  <w:r>
                    <w:rPr>
                      <w:kern w:val="0"/>
                      <w:szCs w:val="21"/>
                      <w:lang w:bidi="ar"/>
                    </w:rPr>
                    <w:t>2</w:t>
                  </w:r>
                  <w:r>
                    <w:rPr>
                      <w:rFonts w:hint="eastAsia"/>
                      <w:kern w:val="0"/>
                      <w:szCs w:val="21"/>
                      <w:lang w:bidi="ar"/>
                    </w:rPr>
                    <w:t>）</w:t>
                  </w:r>
                </w:p>
              </w:tc>
            </w:tr>
            <w:tr w14:paraId="2C233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8" w:type="pct"/>
                </w:tcPr>
                <w:p w14:paraId="5442F783">
                  <w:pPr>
                    <w:widowControl/>
                    <w:spacing w:line="360" w:lineRule="exact"/>
                    <w:ind w:firstLine="420" w:firstLineChars="200"/>
                    <w:jc w:val="left"/>
                  </w:pPr>
                  <w:r>
                    <w:rPr>
                      <w:rFonts w:hint="eastAsia"/>
                      <w:kern w:val="0"/>
                      <w:szCs w:val="21"/>
                      <w:lang w:bidi="ar"/>
                    </w:rPr>
                    <w:t>1</w:t>
                  </w:r>
                  <w:r>
                    <w:rPr>
                      <w:kern w:val="0"/>
                      <w:szCs w:val="21"/>
                      <w:lang w:bidi="ar"/>
                    </w:rPr>
                    <w:t>.035*</w:t>
                  </w:r>
                  <w:r>
                    <w:rPr>
                      <w:rFonts w:hint="eastAsia"/>
                      <w:kern w:val="0"/>
                      <w:szCs w:val="21"/>
                      <w:lang w:bidi="ar"/>
                    </w:rPr>
                    <w:t>B</w:t>
                  </w:r>
                  <w:r>
                    <w:rPr>
                      <w:kern w:val="0"/>
                      <w:szCs w:val="21"/>
                      <w:lang w:bidi="ar"/>
                    </w:rPr>
                    <w:t>1&lt;评标价</w:t>
                  </w:r>
                </w:p>
              </w:tc>
              <w:tc>
                <w:tcPr>
                  <w:tcW w:w="1871" w:type="pct"/>
                  <w:vAlign w:val="center"/>
                </w:tcPr>
                <w:p w14:paraId="281E43FE">
                  <w:pPr>
                    <w:widowControl/>
                    <w:spacing w:line="360" w:lineRule="exact"/>
                    <w:ind w:firstLine="420" w:firstLineChars="200"/>
                    <w:jc w:val="left"/>
                  </w:pPr>
                  <w:r>
                    <w:rPr>
                      <w:szCs w:val="21"/>
                    </w:rPr>
                    <w:t>B2.1</w:t>
                  </w:r>
                </w:p>
              </w:tc>
            </w:tr>
            <w:tr w14:paraId="0D5D4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8" w:type="pct"/>
                </w:tcPr>
                <w:p w14:paraId="5D975D73">
                  <w:pPr>
                    <w:widowControl/>
                    <w:spacing w:line="360" w:lineRule="exact"/>
                    <w:ind w:firstLine="420" w:firstLineChars="200"/>
                    <w:jc w:val="left"/>
                    <w:rPr>
                      <w:kern w:val="0"/>
                      <w:szCs w:val="21"/>
                      <w:lang w:bidi="ar"/>
                    </w:rPr>
                  </w:pPr>
                  <w:r>
                    <w:rPr>
                      <w:rFonts w:hint="eastAsia"/>
                      <w:kern w:val="0"/>
                      <w:szCs w:val="21"/>
                      <w:lang w:bidi="ar"/>
                    </w:rPr>
                    <w:t>1</w:t>
                  </w:r>
                  <w:r>
                    <w:rPr>
                      <w:kern w:val="0"/>
                      <w:szCs w:val="21"/>
                      <w:lang w:bidi="ar"/>
                    </w:rPr>
                    <w:t>.03*</w:t>
                  </w:r>
                  <w:r>
                    <w:rPr>
                      <w:rFonts w:hint="eastAsia"/>
                      <w:kern w:val="0"/>
                      <w:szCs w:val="21"/>
                      <w:lang w:bidi="ar"/>
                    </w:rPr>
                    <w:t>B</w:t>
                  </w:r>
                  <w:r>
                    <w:rPr>
                      <w:kern w:val="0"/>
                      <w:szCs w:val="21"/>
                      <w:lang w:bidi="ar"/>
                    </w:rPr>
                    <w:t>1&lt;评标价</w:t>
                  </w:r>
                  <w:r>
                    <w:rPr>
                      <w:rFonts w:hint="eastAsia"/>
                      <w:kern w:val="0"/>
                      <w:szCs w:val="21"/>
                      <w:lang w:bidi="ar"/>
                    </w:rPr>
                    <w:t>≤1</w:t>
                  </w:r>
                  <w:r>
                    <w:rPr>
                      <w:kern w:val="0"/>
                      <w:szCs w:val="21"/>
                      <w:lang w:bidi="ar"/>
                    </w:rPr>
                    <w:t>.035*</w:t>
                  </w:r>
                  <w:r>
                    <w:rPr>
                      <w:rFonts w:hint="eastAsia"/>
                      <w:kern w:val="0"/>
                      <w:szCs w:val="21"/>
                      <w:lang w:bidi="ar"/>
                    </w:rPr>
                    <w:t>B</w:t>
                  </w:r>
                  <w:r>
                    <w:rPr>
                      <w:kern w:val="0"/>
                      <w:szCs w:val="21"/>
                      <w:lang w:bidi="ar"/>
                    </w:rPr>
                    <w:t>1</w:t>
                  </w:r>
                </w:p>
              </w:tc>
              <w:tc>
                <w:tcPr>
                  <w:tcW w:w="1871" w:type="pct"/>
                  <w:vAlign w:val="center"/>
                </w:tcPr>
                <w:p w14:paraId="12E8F074">
                  <w:pPr>
                    <w:widowControl/>
                    <w:spacing w:line="360" w:lineRule="exact"/>
                    <w:ind w:firstLine="420" w:firstLineChars="200"/>
                    <w:jc w:val="left"/>
                  </w:pPr>
                  <w:r>
                    <w:rPr>
                      <w:szCs w:val="21"/>
                    </w:rPr>
                    <w:t>B2.2</w:t>
                  </w:r>
                </w:p>
              </w:tc>
            </w:tr>
            <w:tr w14:paraId="5E4BD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8" w:type="pct"/>
                </w:tcPr>
                <w:p w14:paraId="4E5E6EE8">
                  <w:pPr>
                    <w:widowControl/>
                    <w:spacing w:line="360" w:lineRule="exact"/>
                    <w:ind w:firstLine="420" w:firstLineChars="200"/>
                    <w:jc w:val="left"/>
                    <w:rPr>
                      <w:kern w:val="0"/>
                      <w:szCs w:val="21"/>
                      <w:lang w:bidi="ar"/>
                    </w:rPr>
                  </w:pPr>
                  <w:r>
                    <w:rPr>
                      <w:rFonts w:hint="eastAsia"/>
                      <w:kern w:val="0"/>
                      <w:szCs w:val="21"/>
                      <w:lang w:bidi="ar"/>
                    </w:rPr>
                    <w:t>1</w:t>
                  </w:r>
                  <w:r>
                    <w:rPr>
                      <w:kern w:val="0"/>
                      <w:szCs w:val="21"/>
                      <w:lang w:bidi="ar"/>
                    </w:rPr>
                    <w:t>.025*</w:t>
                  </w:r>
                  <w:r>
                    <w:rPr>
                      <w:rFonts w:hint="eastAsia"/>
                      <w:kern w:val="0"/>
                      <w:szCs w:val="21"/>
                      <w:lang w:bidi="ar"/>
                    </w:rPr>
                    <w:t>B</w:t>
                  </w:r>
                  <w:r>
                    <w:rPr>
                      <w:kern w:val="0"/>
                      <w:szCs w:val="21"/>
                      <w:lang w:bidi="ar"/>
                    </w:rPr>
                    <w:t>1&lt;评标价</w:t>
                  </w:r>
                  <w:r>
                    <w:rPr>
                      <w:rFonts w:hint="eastAsia"/>
                      <w:kern w:val="0"/>
                      <w:szCs w:val="21"/>
                      <w:lang w:bidi="ar"/>
                    </w:rPr>
                    <w:t>≤1</w:t>
                  </w:r>
                  <w:r>
                    <w:rPr>
                      <w:kern w:val="0"/>
                      <w:szCs w:val="21"/>
                      <w:lang w:bidi="ar"/>
                    </w:rPr>
                    <w:t>.03*</w:t>
                  </w:r>
                  <w:r>
                    <w:rPr>
                      <w:rFonts w:hint="eastAsia"/>
                      <w:kern w:val="0"/>
                      <w:szCs w:val="21"/>
                      <w:lang w:bidi="ar"/>
                    </w:rPr>
                    <w:t>B</w:t>
                  </w:r>
                  <w:r>
                    <w:rPr>
                      <w:kern w:val="0"/>
                      <w:szCs w:val="21"/>
                      <w:lang w:bidi="ar"/>
                    </w:rPr>
                    <w:t>1</w:t>
                  </w:r>
                </w:p>
              </w:tc>
              <w:tc>
                <w:tcPr>
                  <w:tcW w:w="1871" w:type="pct"/>
                  <w:vAlign w:val="center"/>
                </w:tcPr>
                <w:p w14:paraId="17D194F2">
                  <w:pPr>
                    <w:widowControl/>
                    <w:spacing w:line="360" w:lineRule="exact"/>
                    <w:ind w:firstLine="420" w:firstLineChars="200"/>
                    <w:jc w:val="left"/>
                  </w:pPr>
                  <w:r>
                    <w:rPr>
                      <w:szCs w:val="21"/>
                    </w:rPr>
                    <w:t>B2.3</w:t>
                  </w:r>
                </w:p>
              </w:tc>
            </w:tr>
            <w:tr w14:paraId="294FF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8" w:type="pct"/>
                </w:tcPr>
                <w:p w14:paraId="1EE44903">
                  <w:pPr>
                    <w:widowControl/>
                    <w:spacing w:line="360" w:lineRule="exact"/>
                    <w:ind w:firstLine="420" w:firstLineChars="200"/>
                    <w:jc w:val="left"/>
                    <w:rPr>
                      <w:kern w:val="0"/>
                      <w:szCs w:val="21"/>
                      <w:lang w:bidi="ar"/>
                    </w:rPr>
                  </w:pPr>
                  <w:r>
                    <w:rPr>
                      <w:rFonts w:hint="eastAsia"/>
                      <w:kern w:val="0"/>
                      <w:szCs w:val="21"/>
                      <w:lang w:bidi="ar"/>
                    </w:rPr>
                    <w:t>1</w:t>
                  </w:r>
                  <w:r>
                    <w:rPr>
                      <w:kern w:val="0"/>
                      <w:szCs w:val="21"/>
                      <w:lang w:bidi="ar"/>
                    </w:rPr>
                    <w:t>.02*</w:t>
                  </w:r>
                  <w:r>
                    <w:rPr>
                      <w:rFonts w:hint="eastAsia"/>
                      <w:kern w:val="0"/>
                      <w:szCs w:val="21"/>
                      <w:lang w:bidi="ar"/>
                    </w:rPr>
                    <w:t>B</w:t>
                  </w:r>
                  <w:r>
                    <w:rPr>
                      <w:kern w:val="0"/>
                      <w:szCs w:val="21"/>
                      <w:lang w:bidi="ar"/>
                    </w:rPr>
                    <w:t>1&lt;评标价</w:t>
                  </w:r>
                  <w:r>
                    <w:rPr>
                      <w:rFonts w:hint="eastAsia"/>
                      <w:kern w:val="0"/>
                      <w:szCs w:val="21"/>
                      <w:lang w:bidi="ar"/>
                    </w:rPr>
                    <w:t>≤1</w:t>
                  </w:r>
                  <w:r>
                    <w:rPr>
                      <w:kern w:val="0"/>
                      <w:szCs w:val="21"/>
                      <w:lang w:bidi="ar"/>
                    </w:rPr>
                    <w:t>.025*</w:t>
                  </w:r>
                  <w:r>
                    <w:rPr>
                      <w:rFonts w:hint="eastAsia"/>
                      <w:kern w:val="0"/>
                      <w:szCs w:val="21"/>
                      <w:lang w:bidi="ar"/>
                    </w:rPr>
                    <w:t>B</w:t>
                  </w:r>
                  <w:r>
                    <w:rPr>
                      <w:kern w:val="0"/>
                      <w:szCs w:val="21"/>
                      <w:lang w:bidi="ar"/>
                    </w:rPr>
                    <w:t>1</w:t>
                  </w:r>
                </w:p>
              </w:tc>
              <w:tc>
                <w:tcPr>
                  <w:tcW w:w="1871" w:type="pct"/>
                  <w:vAlign w:val="center"/>
                </w:tcPr>
                <w:p w14:paraId="36D1CA70">
                  <w:pPr>
                    <w:widowControl/>
                    <w:spacing w:line="360" w:lineRule="exact"/>
                    <w:ind w:firstLine="420" w:firstLineChars="200"/>
                    <w:jc w:val="left"/>
                  </w:pPr>
                  <w:r>
                    <w:rPr>
                      <w:szCs w:val="21"/>
                    </w:rPr>
                    <w:t>B2.4</w:t>
                  </w:r>
                </w:p>
              </w:tc>
            </w:tr>
            <w:tr w14:paraId="3B035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8" w:type="pct"/>
                </w:tcPr>
                <w:p w14:paraId="7B9FB9AC">
                  <w:pPr>
                    <w:widowControl/>
                    <w:spacing w:line="360" w:lineRule="exact"/>
                    <w:ind w:firstLine="420" w:firstLineChars="200"/>
                    <w:jc w:val="left"/>
                  </w:pPr>
                  <w:r>
                    <w:rPr>
                      <w:rFonts w:hint="eastAsia"/>
                      <w:kern w:val="0"/>
                      <w:szCs w:val="21"/>
                      <w:lang w:bidi="ar"/>
                    </w:rPr>
                    <w:t>1</w:t>
                  </w:r>
                  <w:r>
                    <w:rPr>
                      <w:kern w:val="0"/>
                      <w:szCs w:val="21"/>
                      <w:lang w:bidi="ar"/>
                    </w:rPr>
                    <w:t>.015*</w:t>
                  </w:r>
                  <w:r>
                    <w:rPr>
                      <w:rFonts w:hint="eastAsia"/>
                      <w:kern w:val="0"/>
                      <w:szCs w:val="21"/>
                      <w:lang w:bidi="ar"/>
                    </w:rPr>
                    <w:t>B</w:t>
                  </w:r>
                  <w:r>
                    <w:rPr>
                      <w:kern w:val="0"/>
                      <w:szCs w:val="21"/>
                      <w:lang w:bidi="ar"/>
                    </w:rPr>
                    <w:t>1&lt;评标价</w:t>
                  </w:r>
                  <w:r>
                    <w:rPr>
                      <w:rFonts w:hint="eastAsia"/>
                      <w:kern w:val="0"/>
                      <w:szCs w:val="21"/>
                      <w:lang w:bidi="ar"/>
                    </w:rPr>
                    <w:t>≤1</w:t>
                  </w:r>
                  <w:r>
                    <w:rPr>
                      <w:kern w:val="0"/>
                      <w:szCs w:val="21"/>
                      <w:lang w:bidi="ar"/>
                    </w:rPr>
                    <w:t>.02*</w:t>
                  </w:r>
                  <w:r>
                    <w:rPr>
                      <w:rFonts w:hint="eastAsia"/>
                      <w:kern w:val="0"/>
                      <w:szCs w:val="21"/>
                      <w:lang w:bidi="ar"/>
                    </w:rPr>
                    <w:t>B</w:t>
                  </w:r>
                  <w:r>
                    <w:rPr>
                      <w:kern w:val="0"/>
                      <w:szCs w:val="21"/>
                      <w:lang w:bidi="ar"/>
                    </w:rPr>
                    <w:t>1</w:t>
                  </w:r>
                </w:p>
              </w:tc>
              <w:tc>
                <w:tcPr>
                  <w:tcW w:w="1871" w:type="pct"/>
                  <w:vAlign w:val="center"/>
                </w:tcPr>
                <w:p w14:paraId="39A2F0F9">
                  <w:pPr>
                    <w:widowControl/>
                    <w:spacing w:line="360" w:lineRule="exact"/>
                    <w:ind w:firstLine="420" w:firstLineChars="200"/>
                    <w:jc w:val="left"/>
                  </w:pPr>
                  <w:r>
                    <w:rPr>
                      <w:szCs w:val="21"/>
                    </w:rPr>
                    <w:t>B2.5</w:t>
                  </w:r>
                </w:p>
              </w:tc>
            </w:tr>
            <w:tr w14:paraId="5BCF4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8" w:type="pct"/>
                </w:tcPr>
                <w:p w14:paraId="0997F3B3">
                  <w:pPr>
                    <w:widowControl/>
                    <w:spacing w:line="360" w:lineRule="exact"/>
                    <w:ind w:firstLine="420" w:firstLineChars="200"/>
                    <w:jc w:val="left"/>
                  </w:pPr>
                  <w:r>
                    <w:rPr>
                      <w:rFonts w:hint="eastAsia"/>
                      <w:kern w:val="0"/>
                      <w:szCs w:val="21"/>
                      <w:lang w:bidi="ar"/>
                    </w:rPr>
                    <w:t>1</w:t>
                  </w:r>
                  <w:r>
                    <w:rPr>
                      <w:kern w:val="0"/>
                      <w:szCs w:val="21"/>
                      <w:lang w:bidi="ar"/>
                    </w:rPr>
                    <w:t>.01*</w:t>
                  </w:r>
                  <w:r>
                    <w:rPr>
                      <w:rFonts w:hint="eastAsia"/>
                      <w:kern w:val="0"/>
                      <w:szCs w:val="21"/>
                      <w:lang w:bidi="ar"/>
                    </w:rPr>
                    <w:t>B</w:t>
                  </w:r>
                  <w:r>
                    <w:rPr>
                      <w:kern w:val="0"/>
                      <w:szCs w:val="21"/>
                      <w:lang w:bidi="ar"/>
                    </w:rPr>
                    <w:t>1&lt;评标价</w:t>
                  </w:r>
                  <w:r>
                    <w:rPr>
                      <w:rFonts w:hint="eastAsia"/>
                      <w:kern w:val="0"/>
                      <w:szCs w:val="21"/>
                      <w:lang w:bidi="ar"/>
                    </w:rPr>
                    <w:t>≤1</w:t>
                  </w:r>
                  <w:r>
                    <w:rPr>
                      <w:kern w:val="0"/>
                      <w:szCs w:val="21"/>
                      <w:lang w:bidi="ar"/>
                    </w:rPr>
                    <w:t>.015*</w:t>
                  </w:r>
                  <w:r>
                    <w:rPr>
                      <w:rFonts w:hint="eastAsia"/>
                      <w:kern w:val="0"/>
                      <w:szCs w:val="21"/>
                      <w:lang w:bidi="ar"/>
                    </w:rPr>
                    <w:t>B</w:t>
                  </w:r>
                  <w:r>
                    <w:rPr>
                      <w:kern w:val="0"/>
                      <w:szCs w:val="21"/>
                      <w:lang w:bidi="ar"/>
                    </w:rPr>
                    <w:t>1</w:t>
                  </w:r>
                </w:p>
              </w:tc>
              <w:tc>
                <w:tcPr>
                  <w:tcW w:w="1871" w:type="pct"/>
                  <w:vAlign w:val="center"/>
                </w:tcPr>
                <w:p w14:paraId="256CD90B">
                  <w:pPr>
                    <w:widowControl/>
                    <w:spacing w:line="360" w:lineRule="exact"/>
                    <w:ind w:firstLine="420" w:firstLineChars="200"/>
                    <w:jc w:val="left"/>
                  </w:pPr>
                  <w:r>
                    <w:rPr>
                      <w:szCs w:val="21"/>
                    </w:rPr>
                    <w:t>B2.6</w:t>
                  </w:r>
                </w:p>
              </w:tc>
            </w:tr>
            <w:tr w14:paraId="7A388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8" w:type="pct"/>
                </w:tcPr>
                <w:p w14:paraId="3A94D752">
                  <w:pPr>
                    <w:widowControl/>
                    <w:spacing w:line="360" w:lineRule="exact"/>
                    <w:ind w:firstLine="420" w:firstLineChars="200"/>
                    <w:jc w:val="left"/>
                  </w:pPr>
                  <w:r>
                    <w:rPr>
                      <w:rFonts w:hint="eastAsia"/>
                      <w:kern w:val="0"/>
                      <w:szCs w:val="21"/>
                      <w:lang w:bidi="ar"/>
                    </w:rPr>
                    <w:t>1</w:t>
                  </w:r>
                  <w:r>
                    <w:rPr>
                      <w:kern w:val="0"/>
                      <w:szCs w:val="21"/>
                      <w:lang w:bidi="ar"/>
                    </w:rPr>
                    <w:t>.005*</w:t>
                  </w:r>
                  <w:r>
                    <w:rPr>
                      <w:rFonts w:hint="eastAsia"/>
                      <w:kern w:val="0"/>
                      <w:szCs w:val="21"/>
                      <w:lang w:bidi="ar"/>
                    </w:rPr>
                    <w:t>B</w:t>
                  </w:r>
                  <w:r>
                    <w:rPr>
                      <w:kern w:val="0"/>
                      <w:szCs w:val="21"/>
                      <w:lang w:bidi="ar"/>
                    </w:rPr>
                    <w:t>1&lt;评标价</w:t>
                  </w:r>
                  <w:r>
                    <w:rPr>
                      <w:rFonts w:hint="eastAsia"/>
                      <w:kern w:val="0"/>
                      <w:szCs w:val="21"/>
                      <w:lang w:bidi="ar"/>
                    </w:rPr>
                    <w:t>≤1</w:t>
                  </w:r>
                  <w:r>
                    <w:rPr>
                      <w:kern w:val="0"/>
                      <w:szCs w:val="21"/>
                      <w:lang w:bidi="ar"/>
                    </w:rPr>
                    <w:t>.01*</w:t>
                  </w:r>
                  <w:r>
                    <w:rPr>
                      <w:rFonts w:hint="eastAsia"/>
                      <w:kern w:val="0"/>
                      <w:szCs w:val="21"/>
                      <w:lang w:bidi="ar"/>
                    </w:rPr>
                    <w:t>B</w:t>
                  </w:r>
                  <w:r>
                    <w:rPr>
                      <w:kern w:val="0"/>
                      <w:szCs w:val="21"/>
                      <w:lang w:bidi="ar"/>
                    </w:rPr>
                    <w:t>1</w:t>
                  </w:r>
                </w:p>
              </w:tc>
              <w:tc>
                <w:tcPr>
                  <w:tcW w:w="1871" w:type="pct"/>
                  <w:vAlign w:val="center"/>
                </w:tcPr>
                <w:p w14:paraId="7B154658">
                  <w:pPr>
                    <w:widowControl/>
                    <w:spacing w:line="360" w:lineRule="exact"/>
                    <w:ind w:firstLine="420" w:firstLineChars="200"/>
                    <w:jc w:val="left"/>
                  </w:pPr>
                  <w:r>
                    <w:rPr>
                      <w:szCs w:val="21"/>
                    </w:rPr>
                    <w:t>B2.7</w:t>
                  </w:r>
                </w:p>
              </w:tc>
            </w:tr>
            <w:tr w14:paraId="7E7F2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8" w:type="pct"/>
                  <w:vAlign w:val="center"/>
                </w:tcPr>
                <w:p w14:paraId="66333118">
                  <w:pPr>
                    <w:widowControl/>
                    <w:spacing w:line="360" w:lineRule="exact"/>
                    <w:ind w:firstLine="420" w:firstLineChars="200"/>
                    <w:jc w:val="left"/>
                  </w:pPr>
                  <w:r>
                    <w:rPr>
                      <w:rFonts w:hint="eastAsia"/>
                      <w:kern w:val="0"/>
                      <w:szCs w:val="21"/>
                      <w:lang w:bidi="ar"/>
                    </w:rPr>
                    <w:t>1</w:t>
                  </w:r>
                  <w:r>
                    <w:rPr>
                      <w:kern w:val="0"/>
                      <w:szCs w:val="21"/>
                      <w:lang w:bidi="ar"/>
                    </w:rPr>
                    <w:t>.00*</w:t>
                  </w:r>
                  <w:r>
                    <w:rPr>
                      <w:rFonts w:hint="eastAsia"/>
                      <w:kern w:val="0"/>
                      <w:szCs w:val="21"/>
                      <w:lang w:bidi="ar"/>
                    </w:rPr>
                    <w:t>B</w:t>
                  </w:r>
                  <w:r>
                    <w:rPr>
                      <w:kern w:val="0"/>
                      <w:szCs w:val="21"/>
                      <w:lang w:bidi="ar"/>
                    </w:rPr>
                    <w:t>1&lt;评标价</w:t>
                  </w:r>
                  <w:r>
                    <w:rPr>
                      <w:rFonts w:hint="eastAsia"/>
                      <w:kern w:val="0"/>
                      <w:szCs w:val="21"/>
                      <w:lang w:bidi="ar"/>
                    </w:rPr>
                    <w:t>≤1</w:t>
                  </w:r>
                  <w:r>
                    <w:rPr>
                      <w:kern w:val="0"/>
                      <w:szCs w:val="21"/>
                      <w:lang w:bidi="ar"/>
                    </w:rPr>
                    <w:t>.005*</w:t>
                  </w:r>
                  <w:r>
                    <w:rPr>
                      <w:rFonts w:hint="eastAsia"/>
                      <w:kern w:val="0"/>
                      <w:szCs w:val="21"/>
                      <w:lang w:bidi="ar"/>
                    </w:rPr>
                    <w:t>B</w:t>
                  </w:r>
                  <w:r>
                    <w:rPr>
                      <w:kern w:val="0"/>
                      <w:szCs w:val="21"/>
                      <w:lang w:bidi="ar"/>
                    </w:rPr>
                    <w:t>1</w:t>
                  </w:r>
                </w:p>
              </w:tc>
              <w:tc>
                <w:tcPr>
                  <w:tcW w:w="1871" w:type="pct"/>
                  <w:vAlign w:val="center"/>
                </w:tcPr>
                <w:p w14:paraId="54EF6193">
                  <w:pPr>
                    <w:widowControl/>
                    <w:spacing w:line="360" w:lineRule="exact"/>
                    <w:ind w:firstLine="420" w:firstLineChars="200"/>
                    <w:jc w:val="left"/>
                  </w:pPr>
                  <w:r>
                    <w:rPr>
                      <w:szCs w:val="21"/>
                    </w:rPr>
                    <w:t>B2.8</w:t>
                  </w:r>
                </w:p>
              </w:tc>
            </w:tr>
            <w:tr w14:paraId="1CDA8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8" w:type="pct"/>
                  <w:vAlign w:val="center"/>
                </w:tcPr>
                <w:p w14:paraId="6F2AD182">
                  <w:pPr>
                    <w:widowControl/>
                    <w:spacing w:line="360" w:lineRule="exact"/>
                    <w:ind w:firstLine="420" w:firstLineChars="200"/>
                    <w:jc w:val="left"/>
                  </w:pPr>
                  <w:r>
                    <w:rPr>
                      <w:kern w:val="0"/>
                      <w:szCs w:val="21"/>
                      <w:lang w:bidi="ar"/>
                    </w:rPr>
                    <w:t>0.995*</w:t>
                  </w:r>
                  <w:r>
                    <w:rPr>
                      <w:rFonts w:hint="eastAsia"/>
                      <w:kern w:val="0"/>
                      <w:szCs w:val="21"/>
                      <w:lang w:bidi="ar"/>
                    </w:rPr>
                    <w:t>B</w:t>
                  </w:r>
                  <w:r>
                    <w:rPr>
                      <w:kern w:val="0"/>
                      <w:szCs w:val="21"/>
                      <w:lang w:bidi="ar"/>
                    </w:rPr>
                    <w:t>1&lt;评标价</w:t>
                  </w:r>
                  <w:r>
                    <w:rPr>
                      <w:rFonts w:hint="eastAsia"/>
                      <w:kern w:val="0"/>
                      <w:szCs w:val="21"/>
                      <w:lang w:bidi="ar"/>
                    </w:rPr>
                    <w:t>≤1</w:t>
                  </w:r>
                  <w:r>
                    <w:rPr>
                      <w:kern w:val="0"/>
                      <w:szCs w:val="21"/>
                      <w:lang w:bidi="ar"/>
                    </w:rPr>
                    <w:t>.00*</w:t>
                  </w:r>
                  <w:r>
                    <w:rPr>
                      <w:rFonts w:hint="eastAsia"/>
                      <w:kern w:val="0"/>
                      <w:szCs w:val="21"/>
                      <w:lang w:bidi="ar"/>
                    </w:rPr>
                    <w:t>B</w:t>
                  </w:r>
                  <w:r>
                    <w:rPr>
                      <w:kern w:val="0"/>
                      <w:szCs w:val="21"/>
                      <w:lang w:bidi="ar"/>
                    </w:rPr>
                    <w:t>1</w:t>
                  </w:r>
                </w:p>
              </w:tc>
              <w:tc>
                <w:tcPr>
                  <w:tcW w:w="1871" w:type="pct"/>
                  <w:vAlign w:val="center"/>
                </w:tcPr>
                <w:p w14:paraId="58B46D86">
                  <w:pPr>
                    <w:widowControl/>
                    <w:spacing w:line="360" w:lineRule="exact"/>
                    <w:ind w:firstLine="420" w:firstLineChars="200"/>
                    <w:jc w:val="left"/>
                  </w:pPr>
                  <w:r>
                    <w:rPr>
                      <w:szCs w:val="21"/>
                    </w:rPr>
                    <w:t>B2.9</w:t>
                  </w:r>
                </w:p>
              </w:tc>
            </w:tr>
            <w:tr w14:paraId="7C675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8" w:type="pct"/>
                  <w:vAlign w:val="center"/>
                </w:tcPr>
                <w:p w14:paraId="075CC1AE">
                  <w:pPr>
                    <w:widowControl/>
                    <w:spacing w:line="360" w:lineRule="exact"/>
                    <w:ind w:firstLine="420" w:firstLineChars="200"/>
                    <w:jc w:val="left"/>
                  </w:pPr>
                  <w:r>
                    <w:rPr>
                      <w:kern w:val="0"/>
                      <w:szCs w:val="21"/>
                      <w:lang w:bidi="ar"/>
                    </w:rPr>
                    <w:t>0.99*</w:t>
                  </w:r>
                  <w:r>
                    <w:rPr>
                      <w:rFonts w:hint="eastAsia"/>
                      <w:kern w:val="0"/>
                      <w:szCs w:val="21"/>
                      <w:lang w:bidi="ar"/>
                    </w:rPr>
                    <w:t>B</w:t>
                  </w:r>
                  <w:r>
                    <w:rPr>
                      <w:kern w:val="0"/>
                      <w:szCs w:val="21"/>
                      <w:lang w:bidi="ar"/>
                    </w:rPr>
                    <w:t>1&lt;评标价</w:t>
                  </w:r>
                  <w:r>
                    <w:rPr>
                      <w:rFonts w:hint="eastAsia"/>
                      <w:kern w:val="0"/>
                      <w:szCs w:val="21"/>
                      <w:lang w:bidi="ar"/>
                    </w:rPr>
                    <w:t>≤</w:t>
                  </w:r>
                  <w:r>
                    <w:rPr>
                      <w:kern w:val="0"/>
                      <w:szCs w:val="21"/>
                      <w:lang w:bidi="ar"/>
                    </w:rPr>
                    <w:t>0.995*</w:t>
                  </w:r>
                  <w:r>
                    <w:rPr>
                      <w:rFonts w:hint="eastAsia"/>
                      <w:kern w:val="0"/>
                      <w:szCs w:val="21"/>
                      <w:lang w:bidi="ar"/>
                    </w:rPr>
                    <w:t>B</w:t>
                  </w:r>
                  <w:r>
                    <w:rPr>
                      <w:kern w:val="0"/>
                      <w:szCs w:val="21"/>
                      <w:lang w:bidi="ar"/>
                    </w:rPr>
                    <w:t>1</w:t>
                  </w:r>
                </w:p>
              </w:tc>
              <w:tc>
                <w:tcPr>
                  <w:tcW w:w="1871" w:type="pct"/>
                  <w:vAlign w:val="center"/>
                </w:tcPr>
                <w:p w14:paraId="0C7EED6E">
                  <w:pPr>
                    <w:widowControl/>
                    <w:spacing w:line="360" w:lineRule="exact"/>
                    <w:ind w:firstLine="420" w:firstLineChars="200"/>
                    <w:jc w:val="left"/>
                  </w:pPr>
                  <w:r>
                    <w:rPr>
                      <w:szCs w:val="21"/>
                    </w:rPr>
                    <w:t>B2.10</w:t>
                  </w:r>
                </w:p>
              </w:tc>
            </w:tr>
            <w:tr w14:paraId="0D383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8" w:type="pct"/>
                </w:tcPr>
                <w:p w14:paraId="23A007D9">
                  <w:pPr>
                    <w:widowControl/>
                    <w:spacing w:line="360" w:lineRule="exact"/>
                    <w:ind w:firstLine="420" w:firstLineChars="200"/>
                    <w:jc w:val="left"/>
                  </w:pPr>
                  <w:r>
                    <w:rPr>
                      <w:kern w:val="0"/>
                      <w:szCs w:val="21"/>
                      <w:lang w:bidi="ar"/>
                    </w:rPr>
                    <w:t>0.985*</w:t>
                  </w:r>
                  <w:r>
                    <w:rPr>
                      <w:rFonts w:hint="eastAsia"/>
                      <w:kern w:val="0"/>
                      <w:szCs w:val="21"/>
                      <w:lang w:bidi="ar"/>
                    </w:rPr>
                    <w:t>B</w:t>
                  </w:r>
                  <w:r>
                    <w:rPr>
                      <w:kern w:val="0"/>
                      <w:szCs w:val="21"/>
                      <w:lang w:bidi="ar"/>
                    </w:rPr>
                    <w:t>1&lt;评标价</w:t>
                  </w:r>
                  <w:r>
                    <w:rPr>
                      <w:rFonts w:hint="eastAsia"/>
                      <w:kern w:val="0"/>
                      <w:szCs w:val="21"/>
                      <w:lang w:bidi="ar"/>
                    </w:rPr>
                    <w:t>≤</w:t>
                  </w:r>
                  <w:r>
                    <w:rPr>
                      <w:kern w:val="0"/>
                      <w:szCs w:val="21"/>
                      <w:lang w:bidi="ar"/>
                    </w:rPr>
                    <w:t>0.99*</w:t>
                  </w:r>
                  <w:r>
                    <w:rPr>
                      <w:rFonts w:hint="eastAsia"/>
                      <w:kern w:val="0"/>
                      <w:szCs w:val="21"/>
                      <w:lang w:bidi="ar"/>
                    </w:rPr>
                    <w:t>B</w:t>
                  </w:r>
                  <w:r>
                    <w:rPr>
                      <w:kern w:val="0"/>
                      <w:szCs w:val="21"/>
                      <w:lang w:bidi="ar"/>
                    </w:rPr>
                    <w:t>1</w:t>
                  </w:r>
                </w:p>
              </w:tc>
              <w:tc>
                <w:tcPr>
                  <w:tcW w:w="1871" w:type="pct"/>
                  <w:vAlign w:val="center"/>
                </w:tcPr>
                <w:p w14:paraId="4D59E879">
                  <w:pPr>
                    <w:widowControl/>
                    <w:spacing w:line="360" w:lineRule="exact"/>
                    <w:ind w:firstLine="420" w:firstLineChars="200"/>
                    <w:jc w:val="left"/>
                  </w:pPr>
                  <w:r>
                    <w:rPr>
                      <w:szCs w:val="21"/>
                    </w:rPr>
                    <w:t>B2.11</w:t>
                  </w:r>
                </w:p>
              </w:tc>
            </w:tr>
            <w:tr w14:paraId="3532D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8" w:type="pct"/>
                </w:tcPr>
                <w:p w14:paraId="41DE62AC">
                  <w:pPr>
                    <w:widowControl/>
                    <w:spacing w:line="360" w:lineRule="exact"/>
                    <w:ind w:firstLine="420" w:firstLineChars="200"/>
                    <w:jc w:val="left"/>
                  </w:pPr>
                  <w:r>
                    <w:rPr>
                      <w:kern w:val="0"/>
                      <w:szCs w:val="21"/>
                      <w:lang w:bidi="ar"/>
                    </w:rPr>
                    <w:t>0.98*</w:t>
                  </w:r>
                  <w:r>
                    <w:rPr>
                      <w:rFonts w:hint="eastAsia"/>
                      <w:kern w:val="0"/>
                      <w:szCs w:val="21"/>
                      <w:lang w:bidi="ar"/>
                    </w:rPr>
                    <w:t>B</w:t>
                  </w:r>
                  <w:r>
                    <w:rPr>
                      <w:kern w:val="0"/>
                      <w:szCs w:val="21"/>
                      <w:lang w:bidi="ar"/>
                    </w:rPr>
                    <w:t>1&lt;评标价</w:t>
                  </w:r>
                  <w:r>
                    <w:rPr>
                      <w:rFonts w:hint="eastAsia"/>
                      <w:kern w:val="0"/>
                      <w:szCs w:val="21"/>
                      <w:lang w:bidi="ar"/>
                    </w:rPr>
                    <w:t>≤</w:t>
                  </w:r>
                  <w:r>
                    <w:rPr>
                      <w:kern w:val="0"/>
                      <w:szCs w:val="21"/>
                      <w:lang w:bidi="ar"/>
                    </w:rPr>
                    <w:t>0.985*</w:t>
                  </w:r>
                  <w:r>
                    <w:rPr>
                      <w:rFonts w:hint="eastAsia"/>
                      <w:kern w:val="0"/>
                      <w:szCs w:val="21"/>
                      <w:lang w:bidi="ar"/>
                    </w:rPr>
                    <w:t>B</w:t>
                  </w:r>
                  <w:r>
                    <w:rPr>
                      <w:kern w:val="0"/>
                      <w:szCs w:val="21"/>
                      <w:lang w:bidi="ar"/>
                    </w:rPr>
                    <w:t>1</w:t>
                  </w:r>
                </w:p>
              </w:tc>
              <w:tc>
                <w:tcPr>
                  <w:tcW w:w="1871" w:type="pct"/>
                  <w:vAlign w:val="center"/>
                </w:tcPr>
                <w:p w14:paraId="0B7C28B8">
                  <w:pPr>
                    <w:widowControl/>
                    <w:spacing w:line="360" w:lineRule="exact"/>
                    <w:ind w:firstLine="420" w:firstLineChars="200"/>
                    <w:jc w:val="left"/>
                  </w:pPr>
                  <w:r>
                    <w:rPr>
                      <w:szCs w:val="21"/>
                    </w:rPr>
                    <w:t>B2.12</w:t>
                  </w:r>
                </w:p>
              </w:tc>
            </w:tr>
            <w:tr w14:paraId="22719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8" w:type="pct"/>
                </w:tcPr>
                <w:p w14:paraId="79B76ABC">
                  <w:pPr>
                    <w:widowControl/>
                    <w:spacing w:line="360" w:lineRule="exact"/>
                    <w:ind w:firstLine="420" w:firstLineChars="200"/>
                    <w:jc w:val="left"/>
                  </w:pPr>
                  <w:r>
                    <w:rPr>
                      <w:kern w:val="0"/>
                      <w:szCs w:val="21"/>
                      <w:lang w:bidi="ar"/>
                    </w:rPr>
                    <w:t>0.975*</w:t>
                  </w:r>
                  <w:r>
                    <w:rPr>
                      <w:rFonts w:hint="eastAsia"/>
                      <w:kern w:val="0"/>
                      <w:szCs w:val="21"/>
                      <w:lang w:bidi="ar"/>
                    </w:rPr>
                    <w:t>B</w:t>
                  </w:r>
                  <w:r>
                    <w:rPr>
                      <w:kern w:val="0"/>
                      <w:szCs w:val="21"/>
                      <w:lang w:bidi="ar"/>
                    </w:rPr>
                    <w:t>1&lt;评标价</w:t>
                  </w:r>
                  <w:r>
                    <w:rPr>
                      <w:rFonts w:hint="eastAsia"/>
                      <w:kern w:val="0"/>
                      <w:szCs w:val="21"/>
                      <w:lang w:bidi="ar"/>
                    </w:rPr>
                    <w:t>≤</w:t>
                  </w:r>
                  <w:r>
                    <w:rPr>
                      <w:kern w:val="0"/>
                      <w:szCs w:val="21"/>
                      <w:lang w:bidi="ar"/>
                    </w:rPr>
                    <w:t>0.98*</w:t>
                  </w:r>
                  <w:r>
                    <w:rPr>
                      <w:rFonts w:hint="eastAsia"/>
                      <w:kern w:val="0"/>
                      <w:szCs w:val="21"/>
                      <w:lang w:bidi="ar"/>
                    </w:rPr>
                    <w:t>B</w:t>
                  </w:r>
                  <w:r>
                    <w:rPr>
                      <w:kern w:val="0"/>
                      <w:szCs w:val="21"/>
                      <w:lang w:bidi="ar"/>
                    </w:rPr>
                    <w:t>1</w:t>
                  </w:r>
                </w:p>
              </w:tc>
              <w:tc>
                <w:tcPr>
                  <w:tcW w:w="1871" w:type="pct"/>
                  <w:vAlign w:val="center"/>
                </w:tcPr>
                <w:p w14:paraId="0C869793">
                  <w:pPr>
                    <w:widowControl/>
                    <w:spacing w:line="360" w:lineRule="exact"/>
                    <w:ind w:firstLine="420" w:firstLineChars="200"/>
                    <w:jc w:val="left"/>
                  </w:pPr>
                  <w:r>
                    <w:rPr>
                      <w:szCs w:val="21"/>
                    </w:rPr>
                    <w:t>B2.13</w:t>
                  </w:r>
                </w:p>
              </w:tc>
            </w:tr>
            <w:tr w14:paraId="31892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8" w:type="pct"/>
                </w:tcPr>
                <w:p w14:paraId="7BC05CB3">
                  <w:pPr>
                    <w:widowControl/>
                    <w:spacing w:line="360" w:lineRule="exact"/>
                    <w:ind w:firstLine="420" w:firstLineChars="200"/>
                    <w:jc w:val="left"/>
                  </w:pPr>
                  <w:r>
                    <w:rPr>
                      <w:kern w:val="0"/>
                      <w:szCs w:val="21"/>
                      <w:lang w:bidi="ar"/>
                    </w:rPr>
                    <w:t>0.97*</w:t>
                  </w:r>
                  <w:r>
                    <w:rPr>
                      <w:rFonts w:hint="eastAsia"/>
                      <w:kern w:val="0"/>
                      <w:szCs w:val="21"/>
                      <w:lang w:bidi="ar"/>
                    </w:rPr>
                    <w:t>B</w:t>
                  </w:r>
                  <w:r>
                    <w:rPr>
                      <w:kern w:val="0"/>
                      <w:szCs w:val="21"/>
                      <w:lang w:bidi="ar"/>
                    </w:rPr>
                    <w:t>1&lt;评标价</w:t>
                  </w:r>
                  <w:r>
                    <w:rPr>
                      <w:rFonts w:hint="eastAsia"/>
                      <w:kern w:val="0"/>
                      <w:szCs w:val="21"/>
                      <w:lang w:bidi="ar"/>
                    </w:rPr>
                    <w:t>≤</w:t>
                  </w:r>
                  <w:r>
                    <w:rPr>
                      <w:kern w:val="0"/>
                      <w:szCs w:val="21"/>
                      <w:lang w:bidi="ar"/>
                    </w:rPr>
                    <w:t>0.975*</w:t>
                  </w:r>
                  <w:r>
                    <w:rPr>
                      <w:rFonts w:hint="eastAsia"/>
                      <w:kern w:val="0"/>
                      <w:szCs w:val="21"/>
                      <w:lang w:bidi="ar"/>
                    </w:rPr>
                    <w:t>B</w:t>
                  </w:r>
                  <w:r>
                    <w:rPr>
                      <w:kern w:val="0"/>
                      <w:szCs w:val="21"/>
                      <w:lang w:bidi="ar"/>
                    </w:rPr>
                    <w:t>1</w:t>
                  </w:r>
                </w:p>
              </w:tc>
              <w:tc>
                <w:tcPr>
                  <w:tcW w:w="1871" w:type="pct"/>
                  <w:vAlign w:val="center"/>
                </w:tcPr>
                <w:p w14:paraId="1DB12FF2">
                  <w:pPr>
                    <w:widowControl/>
                    <w:spacing w:line="360" w:lineRule="exact"/>
                    <w:ind w:firstLine="420" w:firstLineChars="200"/>
                    <w:jc w:val="left"/>
                  </w:pPr>
                  <w:r>
                    <w:rPr>
                      <w:szCs w:val="21"/>
                    </w:rPr>
                    <w:t>B2.14</w:t>
                  </w:r>
                </w:p>
              </w:tc>
            </w:tr>
            <w:tr w14:paraId="767A5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8" w:type="pct"/>
                </w:tcPr>
                <w:p w14:paraId="75993F5F">
                  <w:pPr>
                    <w:widowControl/>
                    <w:spacing w:line="360" w:lineRule="exact"/>
                    <w:ind w:firstLine="420" w:firstLineChars="200"/>
                    <w:jc w:val="left"/>
                  </w:pPr>
                  <w:r>
                    <w:rPr>
                      <w:kern w:val="0"/>
                      <w:szCs w:val="21"/>
                      <w:lang w:bidi="ar"/>
                    </w:rPr>
                    <w:t>0.965*</w:t>
                  </w:r>
                  <w:r>
                    <w:rPr>
                      <w:rFonts w:hint="eastAsia"/>
                      <w:kern w:val="0"/>
                      <w:szCs w:val="21"/>
                      <w:lang w:bidi="ar"/>
                    </w:rPr>
                    <w:t>B</w:t>
                  </w:r>
                  <w:r>
                    <w:rPr>
                      <w:kern w:val="0"/>
                      <w:szCs w:val="21"/>
                      <w:lang w:bidi="ar"/>
                    </w:rPr>
                    <w:t>1</w:t>
                  </w:r>
                  <w:r>
                    <w:rPr>
                      <w:rFonts w:hint="eastAsia"/>
                      <w:kern w:val="0"/>
                      <w:szCs w:val="21"/>
                      <w:lang w:bidi="ar"/>
                    </w:rPr>
                    <w:t>≤</w:t>
                  </w:r>
                  <w:r>
                    <w:rPr>
                      <w:kern w:val="0"/>
                      <w:szCs w:val="21"/>
                      <w:lang w:bidi="ar"/>
                    </w:rPr>
                    <w:t>评标价</w:t>
                  </w:r>
                  <w:r>
                    <w:rPr>
                      <w:rFonts w:hint="eastAsia"/>
                      <w:kern w:val="0"/>
                      <w:szCs w:val="21"/>
                      <w:lang w:bidi="ar"/>
                    </w:rPr>
                    <w:t>≤</w:t>
                  </w:r>
                  <w:r>
                    <w:rPr>
                      <w:kern w:val="0"/>
                      <w:szCs w:val="21"/>
                      <w:lang w:bidi="ar"/>
                    </w:rPr>
                    <w:t>0.97*</w:t>
                  </w:r>
                  <w:r>
                    <w:rPr>
                      <w:rFonts w:hint="eastAsia"/>
                      <w:kern w:val="0"/>
                      <w:szCs w:val="21"/>
                      <w:lang w:bidi="ar"/>
                    </w:rPr>
                    <w:t>B</w:t>
                  </w:r>
                  <w:r>
                    <w:rPr>
                      <w:kern w:val="0"/>
                      <w:szCs w:val="21"/>
                      <w:lang w:bidi="ar"/>
                    </w:rPr>
                    <w:t>1</w:t>
                  </w:r>
                </w:p>
              </w:tc>
              <w:tc>
                <w:tcPr>
                  <w:tcW w:w="1871" w:type="pct"/>
                  <w:vAlign w:val="center"/>
                </w:tcPr>
                <w:p w14:paraId="13211048">
                  <w:pPr>
                    <w:widowControl/>
                    <w:spacing w:line="360" w:lineRule="exact"/>
                    <w:ind w:firstLine="420" w:firstLineChars="200"/>
                    <w:jc w:val="left"/>
                  </w:pPr>
                  <w:r>
                    <w:rPr>
                      <w:szCs w:val="21"/>
                    </w:rPr>
                    <w:t>B2.15</w:t>
                  </w:r>
                </w:p>
              </w:tc>
            </w:tr>
            <w:tr w14:paraId="3A60D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8" w:type="pct"/>
                </w:tcPr>
                <w:p w14:paraId="4F2338F3">
                  <w:pPr>
                    <w:widowControl/>
                    <w:spacing w:line="360" w:lineRule="exact"/>
                    <w:ind w:firstLine="420" w:firstLineChars="200"/>
                    <w:jc w:val="left"/>
                    <w:rPr>
                      <w:kern w:val="0"/>
                      <w:szCs w:val="21"/>
                      <w:lang w:bidi="ar"/>
                    </w:rPr>
                  </w:pPr>
                  <w:r>
                    <w:rPr>
                      <w:kern w:val="0"/>
                      <w:szCs w:val="21"/>
                      <w:lang w:bidi="ar"/>
                    </w:rPr>
                    <w:t>评标价&lt;0.965*</w:t>
                  </w:r>
                  <w:r>
                    <w:rPr>
                      <w:rFonts w:hint="eastAsia"/>
                      <w:kern w:val="0"/>
                      <w:szCs w:val="21"/>
                      <w:lang w:bidi="ar"/>
                    </w:rPr>
                    <w:t>B</w:t>
                  </w:r>
                  <w:r>
                    <w:rPr>
                      <w:kern w:val="0"/>
                      <w:szCs w:val="21"/>
                      <w:lang w:bidi="ar"/>
                    </w:rPr>
                    <w:t>1</w:t>
                  </w:r>
                </w:p>
              </w:tc>
              <w:tc>
                <w:tcPr>
                  <w:tcW w:w="1871" w:type="pct"/>
                  <w:vAlign w:val="center"/>
                </w:tcPr>
                <w:p w14:paraId="154CB24C">
                  <w:pPr>
                    <w:widowControl/>
                    <w:spacing w:line="360" w:lineRule="exact"/>
                    <w:ind w:firstLine="420" w:firstLineChars="200"/>
                    <w:jc w:val="left"/>
                  </w:pPr>
                  <w:r>
                    <w:rPr>
                      <w:szCs w:val="21"/>
                    </w:rPr>
                    <w:t>B2.16</w:t>
                  </w:r>
                </w:p>
              </w:tc>
            </w:tr>
          </w:tbl>
          <w:p w14:paraId="3009B611">
            <w:pPr>
              <w:widowControl/>
              <w:spacing w:line="360" w:lineRule="exact"/>
              <w:ind w:firstLine="420" w:firstLineChars="200"/>
              <w:jc w:val="left"/>
              <w:rPr>
                <w:kern w:val="0"/>
                <w:szCs w:val="21"/>
                <w:lang w:bidi="ar"/>
              </w:rPr>
            </w:pPr>
            <w:r>
              <w:rPr>
                <w:kern w:val="0"/>
                <w:szCs w:val="21"/>
                <w:lang w:bidi="ar"/>
              </w:rPr>
              <w:t>3</w:t>
            </w:r>
            <w:r>
              <w:rPr>
                <w:rFonts w:hint="eastAsia"/>
                <w:kern w:val="0"/>
                <w:szCs w:val="21"/>
                <w:lang w:bidi="ar"/>
              </w:rPr>
              <w:t>、评标价平均值（B）</w:t>
            </w:r>
          </w:p>
          <w:p w14:paraId="7F9A7434">
            <w:pPr>
              <w:widowControl/>
              <w:spacing w:line="360" w:lineRule="exact"/>
              <w:ind w:firstLine="420" w:firstLineChars="200"/>
              <w:jc w:val="left"/>
              <w:rPr>
                <w:kern w:val="0"/>
                <w:szCs w:val="21"/>
                <w:lang w:bidi="ar"/>
              </w:rPr>
            </w:pPr>
            <w:r>
              <w:rPr>
                <w:rFonts w:hint="eastAsia"/>
                <w:kern w:val="0"/>
                <w:szCs w:val="21"/>
                <w:lang w:bidi="ar"/>
              </w:rPr>
              <w:t>（1）按下列公式，</w:t>
            </w:r>
            <w:r>
              <w:rPr>
                <w:kern w:val="0"/>
                <w:szCs w:val="21"/>
                <w:lang w:bidi="ar"/>
              </w:rPr>
              <w:t>将计算得出的区段平均值</w:t>
            </w:r>
            <w:r>
              <w:rPr>
                <w:rFonts w:hint="eastAsia"/>
                <w:kern w:val="0"/>
                <w:szCs w:val="21"/>
                <w:lang w:bidi="ar"/>
              </w:rPr>
              <w:t>（</w:t>
            </w:r>
            <w:r>
              <w:rPr>
                <w:szCs w:val="21"/>
              </w:rPr>
              <w:t>B2.1</w:t>
            </w:r>
            <w:r>
              <w:rPr>
                <w:rFonts w:hint="eastAsia"/>
                <w:szCs w:val="21"/>
              </w:rPr>
              <w:t>、</w:t>
            </w:r>
            <w:r>
              <w:rPr>
                <w:szCs w:val="21"/>
              </w:rPr>
              <w:t>B2.2</w:t>
            </w:r>
            <w:r>
              <w:rPr>
                <w:rFonts w:hint="eastAsia"/>
                <w:szCs w:val="21"/>
              </w:rPr>
              <w:t>、……、</w:t>
            </w:r>
            <w:r>
              <w:rPr>
                <w:szCs w:val="21"/>
              </w:rPr>
              <w:t>B2.15</w:t>
            </w:r>
            <w:r>
              <w:rPr>
                <w:rFonts w:hint="eastAsia"/>
                <w:szCs w:val="21"/>
              </w:rPr>
              <w:t>、</w:t>
            </w:r>
            <w:r>
              <w:rPr>
                <w:szCs w:val="21"/>
              </w:rPr>
              <w:t>B2.16</w:t>
            </w:r>
            <w:r>
              <w:rPr>
                <w:rFonts w:hint="eastAsia"/>
                <w:kern w:val="0"/>
                <w:szCs w:val="21"/>
                <w:lang w:bidi="ar"/>
              </w:rPr>
              <w:t>）</w:t>
            </w:r>
            <w:r>
              <w:rPr>
                <w:kern w:val="0"/>
                <w:szCs w:val="21"/>
                <w:lang w:bidi="ar"/>
              </w:rPr>
              <w:t>进行加权平均</w:t>
            </w:r>
            <w:r>
              <w:rPr>
                <w:rFonts w:hint="eastAsia"/>
                <w:kern w:val="0"/>
                <w:szCs w:val="21"/>
                <w:lang w:bidi="ar"/>
              </w:rPr>
              <w:t>（B</w:t>
            </w:r>
            <w:r>
              <w:rPr>
                <w:kern w:val="0"/>
                <w:szCs w:val="21"/>
                <w:lang w:bidi="ar"/>
              </w:rPr>
              <w:t>2.1</w:t>
            </w:r>
            <w:r>
              <w:rPr>
                <w:rFonts w:hint="eastAsia"/>
                <w:kern w:val="0"/>
                <w:szCs w:val="21"/>
                <w:lang w:bidi="ar"/>
              </w:rPr>
              <w:t>和B</w:t>
            </w:r>
            <w:r>
              <w:rPr>
                <w:kern w:val="0"/>
                <w:szCs w:val="21"/>
                <w:lang w:bidi="ar"/>
              </w:rPr>
              <w:t>2.16</w:t>
            </w:r>
            <w:r>
              <w:rPr>
                <w:rFonts w:hint="eastAsia"/>
                <w:kern w:val="0"/>
                <w:szCs w:val="21"/>
                <w:lang w:bidi="ar"/>
              </w:rPr>
              <w:t>权重为0.1，B</w:t>
            </w:r>
            <w:r>
              <w:rPr>
                <w:kern w:val="0"/>
                <w:szCs w:val="21"/>
                <w:lang w:bidi="ar"/>
              </w:rPr>
              <w:t>2.2</w:t>
            </w:r>
            <w:r>
              <w:rPr>
                <w:rFonts w:hint="eastAsia"/>
                <w:kern w:val="0"/>
                <w:szCs w:val="21"/>
                <w:lang w:bidi="ar"/>
              </w:rPr>
              <w:t>和B</w:t>
            </w:r>
            <w:r>
              <w:rPr>
                <w:kern w:val="0"/>
                <w:szCs w:val="21"/>
                <w:lang w:bidi="ar"/>
              </w:rPr>
              <w:t>2.15</w:t>
            </w:r>
            <w:r>
              <w:rPr>
                <w:rFonts w:hint="eastAsia"/>
                <w:kern w:val="0"/>
                <w:szCs w:val="21"/>
                <w:lang w:bidi="ar"/>
              </w:rPr>
              <w:t>权重为0.3，B</w:t>
            </w:r>
            <w:r>
              <w:rPr>
                <w:kern w:val="0"/>
                <w:szCs w:val="21"/>
                <w:lang w:bidi="ar"/>
              </w:rPr>
              <w:t>2.3</w:t>
            </w:r>
            <w:r>
              <w:rPr>
                <w:rFonts w:hint="eastAsia"/>
                <w:kern w:val="0"/>
                <w:szCs w:val="21"/>
                <w:lang w:bidi="ar"/>
              </w:rPr>
              <w:t>和B</w:t>
            </w:r>
            <w:r>
              <w:rPr>
                <w:kern w:val="0"/>
                <w:szCs w:val="21"/>
                <w:lang w:bidi="ar"/>
              </w:rPr>
              <w:t>2.14</w:t>
            </w:r>
            <w:r>
              <w:rPr>
                <w:rFonts w:hint="eastAsia"/>
                <w:kern w:val="0"/>
                <w:szCs w:val="21"/>
                <w:lang w:bidi="ar"/>
              </w:rPr>
              <w:t>权重为0.5，其余权重为1.0）</w:t>
            </w:r>
            <w:r>
              <w:rPr>
                <w:kern w:val="0"/>
                <w:szCs w:val="21"/>
                <w:lang w:bidi="ar"/>
              </w:rPr>
              <w:t>，得出</w:t>
            </w:r>
            <w:r>
              <w:rPr>
                <w:rFonts w:hint="eastAsia"/>
                <w:kern w:val="0"/>
                <w:szCs w:val="21"/>
                <w:lang w:bidi="ar"/>
              </w:rPr>
              <w:t>评标价平均值（B）</w:t>
            </w:r>
            <w:r>
              <w:rPr>
                <w:kern w:val="0"/>
                <w:szCs w:val="21"/>
                <w:lang w:bidi="ar"/>
              </w:rPr>
              <w:t>。</w:t>
            </w:r>
            <w:r>
              <w:rPr>
                <w:rFonts w:hint="eastAsia"/>
                <w:kern w:val="0"/>
                <w:szCs w:val="21"/>
                <w:lang w:bidi="ar"/>
              </w:rPr>
              <w:t>评标价平均值（B）保留七位小数，小数点后第八位</w:t>
            </w:r>
            <w:r>
              <w:rPr>
                <w:rFonts w:hint="eastAsia" w:cs="宋体"/>
                <w:kern w:val="0"/>
                <w:szCs w:val="21"/>
                <w:lang w:bidi="ar"/>
              </w:rPr>
              <w:t>“</w:t>
            </w:r>
            <w:r>
              <w:rPr>
                <w:rFonts w:hint="eastAsia"/>
                <w:kern w:val="0"/>
                <w:szCs w:val="21"/>
                <w:lang w:bidi="ar"/>
              </w:rPr>
              <w:t>四舍五入</w:t>
            </w:r>
            <w:r>
              <w:rPr>
                <w:rFonts w:hint="eastAsia" w:cs="宋体"/>
                <w:kern w:val="0"/>
                <w:szCs w:val="21"/>
                <w:lang w:bidi="ar"/>
              </w:rPr>
              <w:t>”</w:t>
            </w:r>
            <w:r>
              <w:rPr>
                <w:rFonts w:hint="eastAsia"/>
                <w:kern w:val="0"/>
                <w:szCs w:val="21"/>
                <w:lang w:bidi="ar"/>
              </w:rPr>
              <w:t>。</w:t>
            </w:r>
          </w:p>
          <w:p w14:paraId="6368DA69">
            <w:pPr>
              <w:widowControl/>
              <w:spacing w:line="360" w:lineRule="exact"/>
              <w:ind w:firstLine="420" w:firstLineChars="200"/>
              <w:jc w:val="left"/>
              <w:rPr>
                <w:kern w:val="0"/>
                <w:szCs w:val="21"/>
                <w:lang w:bidi="ar"/>
              </w:rPr>
            </w:pPr>
            <w:r>
              <w:rPr>
                <w:rFonts w:hint="eastAsia"/>
                <w:kern w:val="0"/>
                <w:szCs w:val="21"/>
                <w:lang w:bidi="ar"/>
              </w:rPr>
              <w:t>B</w:t>
            </w:r>
            <w:r>
              <w:rPr>
                <w:kern w:val="0"/>
                <w:szCs w:val="21"/>
                <w:lang w:bidi="ar"/>
              </w:rPr>
              <w:t>=[0.1*</w:t>
            </w:r>
            <w:r>
              <w:rPr>
                <w:szCs w:val="21"/>
              </w:rPr>
              <w:t>B2.1</w:t>
            </w:r>
            <w:r>
              <w:rPr>
                <w:rFonts w:hint="eastAsia"/>
                <w:kern w:val="0"/>
                <w:szCs w:val="21"/>
                <w:lang w:bidi="ar"/>
              </w:rPr>
              <w:t>+</w:t>
            </w:r>
            <w:r>
              <w:rPr>
                <w:kern w:val="0"/>
                <w:szCs w:val="21"/>
                <w:lang w:bidi="ar"/>
              </w:rPr>
              <w:t>0.3*</w:t>
            </w:r>
            <w:r>
              <w:rPr>
                <w:szCs w:val="21"/>
              </w:rPr>
              <w:t>B2.2</w:t>
            </w:r>
            <w:r>
              <w:rPr>
                <w:rFonts w:hint="eastAsia"/>
                <w:kern w:val="0"/>
                <w:szCs w:val="21"/>
                <w:lang w:bidi="ar"/>
              </w:rPr>
              <w:t>+</w:t>
            </w:r>
            <w:r>
              <w:rPr>
                <w:kern w:val="0"/>
                <w:szCs w:val="21"/>
                <w:lang w:bidi="ar"/>
              </w:rPr>
              <w:t>0.5*</w:t>
            </w:r>
            <w:r>
              <w:rPr>
                <w:szCs w:val="21"/>
              </w:rPr>
              <w:t>B2.3</w:t>
            </w:r>
            <w:r>
              <w:rPr>
                <w:rFonts w:hint="eastAsia"/>
                <w:kern w:val="0"/>
                <w:szCs w:val="21"/>
                <w:lang w:bidi="ar"/>
              </w:rPr>
              <w:t>+</w:t>
            </w:r>
            <w:r>
              <w:rPr>
                <w:kern w:val="0"/>
                <w:szCs w:val="21"/>
                <w:lang w:bidi="ar"/>
              </w:rPr>
              <w:t>1</w:t>
            </w:r>
            <w:r>
              <w:rPr>
                <w:rFonts w:hint="eastAsia"/>
                <w:kern w:val="0"/>
                <w:szCs w:val="21"/>
                <w:lang w:bidi="ar"/>
              </w:rPr>
              <w:t>.0</w:t>
            </w:r>
            <w:r>
              <w:rPr>
                <w:kern w:val="0"/>
                <w:szCs w:val="21"/>
                <w:lang w:bidi="ar"/>
              </w:rPr>
              <w:t>*</w:t>
            </w:r>
            <w:r>
              <w:rPr>
                <w:rFonts w:hint="eastAsia"/>
                <w:kern w:val="0"/>
                <w:szCs w:val="21"/>
                <w:lang w:bidi="ar"/>
              </w:rPr>
              <w:t>（</w:t>
            </w:r>
            <w:r>
              <w:rPr>
                <w:szCs w:val="21"/>
              </w:rPr>
              <w:t>B2.4+B2.5+</w:t>
            </w:r>
            <w:r>
              <w:rPr>
                <w:rFonts w:hint="eastAsia"/>
                <w:szCs w:val="21"/>
              </w:rPr>
              <w:t>……</w:t>
            </w:r>
            <w:r>
              <w:rPr>
                <w:szCs w:val="21"/>
              </w:rPr>
              <w:t>+B2.12+B2.13</w:t>
            </w:r>
            <w:r>
              <w:rPr>
                <w:rFonts w:hint="eastAsia"/>
                <w:kern w:val="0"/>
                <w:szCs w:val="21"/>
                <w:lang w:bidi="ar"/>
              </w:rPr>
              <w:t>）+</w:t>
            </w:r>
            <w:r>
              <w:rPr>
                <w:kern w:val="0"/>
                <w:szCs w:val="21"/>
                <w:lang w:bidi="ar"/>
              </w:rPr>
              <w:t>0.5*</w:t>
            </w:r>
            <w:r>
              <w:rPr>
                <w:szCs w:val="21"/>
              </w:rPr>
              <w:t>B2.14+</w:t>
            </w:r>
            <w:r>
              <w:rPr>
                <w:kern w:val="0"/>
                <w:szCs w:val="21"/>
                <w:lang w:bidi="ar"/>
              </w:rPr>
              <w:t>0.3*</w:t>
            </w:r>
            <w:r>
              <w:rPr>
                <w:szCs w:val="21"/>
              </w:rPr>
              <w:t>B2.15+0.1*</w:t>
            </w:r>
            <w:r>
              <w:rPr>
                <w:rFonts w:hint="eastAsia"/>
                <w:szCs w:val="21"/>
              </w:rPr>
              <w:t>B</w:t>
            </w:r>
            <w:r>
              <w:rPr>
                <w:szCs w:val="21"/>
              </w:rPr>
              <w:t>2.16</w:t>
            </w:r>
            <w:r>
              <w:rPr>
                <w:rFonts w:hint="eastAsia"/>
                <w:kern w:val="0"/>
                <w:szCs w:val="21"/>
                <w:lang w:bidi="ar"/>
              </w:rPr>
              <w:t>]/</w:t>
            </w:r>
            <w:r>
              <w:rPr>
                <w:kern w:val="0"/>
                <w:szCs w:val="21"/>
                <w:lang w:bidi="ar"/>
              </w:rPr>
              <w:t>[0.1+0.3+0.5+1</w:t>
            </w:r>
            <w:r>
              <w:rPr>
                <w:rFonts w:hint="eastAsia"/>
                <w:kern w:val="0"/>
                <w:szCs w:val="21"/>
                <w:lang w:bidi="ar"/>
              </w:rPr>
              <w:t>.0</w:t>
            </w:r>
            <w:r>
              <w:rPr>
                <w:kern w:val="0"/>
                <w:szCs w:val="21"/>
                <w:lang w:bidi="ar"/>
              </w:rPr>
              <w:t>+1</w:t>
            </w:r>
            <w:r>
              <w:rPr>
                <w:rFonts w:hint="eastAsia"/>
                <w:kern w:val="0"/>
                <w:szCs w:val="21"/>
                <w:lang w:bidi="ar"/>
              </w:rPr>
              <w:t>.0</w:t>
            </w:r>
            <w:r>
              <w:rPr>
                <w:kern w:val="0"/>
                <w:szCs w:val="21"/>
                <w:lang w:bidi="ar"/>
              </w:rPr>
              <w:t>+1</w:t>
            </w:r>
            <w:r>
              <w:rPr>
                <w:rFonts w:hint="eastAsia"/>
                <w:kern w:val="0"/>
                <w:szCs w:val="21"/>
                <w:lang w:bidi="ar"/>
              </w:rPr>
              <w:t>.0</w:t>
            </w:r>
            <w:r>
              <w:rPr>
                <w:kern w:val="0"/>
                <w:szCs w:val="21"/>
                <w:lang w:bidi="ar"/>
              </w:rPr>
              <w:t>+1</w:t>
            </w:r>
            <w:r>
              <w:rPr>
                <w:rFonts w:hint="eastAsia"/>
                <w:kern w:val="0"/>
                <w:szCs w:val="21"/>
                <w:lang w:bidi="ar"/>
              </w:rPr>
              <w:t>.0</w:t>
            </w:r>
            <w:r>
              <w:rPr>
                <w:kern w:val="0"/>
                <w:szCs w:val="21"/>
                <w:lang w:bidi="ar"/>
              </w:rPr>
              <w:t>+1</w:t>
            </w:r>
            <w:r>
              <w:rPr>
                <w:rFonts w:hint="eastAsia"/>
                <w:kern w:val="0"/>
                <w:szCs w:val="21"/>
                <w:lang w:bidi="ar"/>
              </w:rPr>
              <w:t>.0</w:t>
            </w:r>
            <w:r>
              <w:rPr>
                <w:kern w:val="0"/>
                <w:szCs w:val="21"/>
                <w:lang w:bidi="ar"/>
              </w:rPr>
              <w:t>+1</w:t>
            </w:r>
            <w:r>
              <w:rPr>
                <w:rFonts w:hint="eastAsia"/>
                <w:kern w:val="0"/>
                <w:szCs w:val="21"/>
                <w:lang w:bidi="ar"/>
              </w:rPr>
              <w:t>.0</w:t>
            </w:r>
            <w:r>
              <w:rPr>
                <w:kern w:val="0"/>
                <w:szCs w:val="21"/>
                <w:lang w:bidi="ar"/>
              </w:rPr>
              <w:t>+1</w:t>
            </w:r>
            <w:r>
              <w:rPr>
                <w:rFonts w:hint="eastAsia"/>
                <w:kern w:val="0"/>
                <w:szCs w:val="21"/>
                <w:lang w:bidi="ar"/>
              </w:rPr>
              <w:t>.0</w:t>
            </w:r>
            <w:r>
              <w:rPr>
                <w:kern w:val="0"/>
                <w:szCs w:val="21"/>
                <w:lang w:bidi="ar"/>
              </w:rPr>
              <w:t>+1</w:t>
            </w:r>
            <w:r>
              <w:rPr>
                <w:rFonts w:hint="eastAsia"/>
                <w:kern w:val="0"/>
                <w:szCs w:val="21"/>
                <w:lang w:bidi="ar"/>
              </w:rPr>
              <w:t>.0</w:t>
            </w:r>
            <w:r>
              <w:rPr>
                <w:kern w:val="0"/>
                <w:szCs w:val="21"/>
                <w:lang w:bidi="ar"/>
              </w:rPr>
              <w:t>+1</w:t>
            </w:r>
            <w:r>
              <w:rPr>
                <w:rFonts w:hint="eastAsia"/>
                <w:kern w:val="0"/>
                <w:szCs w:val="21"/>
                <w:lang w:bidi="ar"/>
              </w:rPr>
              <w:t>.0</w:t>
            </w:r>
            <w:r>
              <w:rPr>
                <w:kern w:val="0"/>
                <w:szCs w:val="21"/>
                <w:lang w:bidi="ar"/>
              </w:rPr>
              <w:t>+1</w:t>
            </w:r>
            <w:r>
              <w:rPr>
                <w:rFonts w:hint="eastAsia"/>
                <w:kern w:val="0"/>
                <w:szCs w:val="21"/>
                <w:lang w:bidi="ar"/>
              </w:rPr>
              <w:t>.0</w:t>
            </w:r>
            <w:r>
              <w:rPr>
                <w:kern w:val="0"/>
                <w:szCs w:val="21"/>
                <w:lang w:bidi="ar"/>
              </w:rPr>
              <w:t>+0.5+0.3+0.1]</w:t>
            </w:r>
            <w:r>
              <w:rPr>
                <w:rFonts w:hint="eastAsia"/>
                <w:kern w:val="0"/>
                <w:szCs w:val="21"/>
                <w:lang w:bidi="ar"/>
              </w:rPr>
              <w:t>。</w:t>
            </w:r>
          </w:p>
          <w:p w14:paraId="488FE129">
            <w:pPr>
              <w:widowControl/>
              <w:spacing w:line="360" w:lineRule="exact"/>
              <w:ind w:firstLine="420" w:firstLineChars="200"/>
              <w:jc w:val="left"/>
              <w:rPr>
                <w:kern w:val="0"/>
                <w:szCs w:val="21"/>
                <w:lang w:bidi="ar"/>
              </w:rPr>
            </w:pPr>
            <w:r>
              <w:rPr>
                <w:rFonts w:hint="eastAsia"/>
                <w:kern w:val="0"/>
                <w:szCs w:val="21"/>
                <w:lang w:bidi="ar"/>
              </w:rPr>
              <w:t>（2）如果某区段无</w:t>
            </w:r>
            <w:r>
              <w:rPr>
                <w:kern w:val="0"/>
                <w:szCs w:val="21"/>
                <w:lang w:bidi="ar"/>
              </w:rPr>
              <w:t>区段平均值</w:t>
            </w:r>
            <w:r>
              <w:rPr>
                <w:rFonts w:hint="eastAsia"/>
                <w:kern w:val="0"/>
                <w:szCs w:val="21"/>
                <w:lang w:bidi="ar"/>
              </w:rPr>
              <w:t>，则该区段不计区段平均值。如：无</w:t>
            </w:r>
            <w:r>
              <w:rPr>
                <w:kern w:val="0"/>
                <w:szCs w:val="21"/>
                <w:lang w:bidi="ar"/>
              </w:rPr>
              <w:t>B2.1</w:t>
            </w:r>
            <w:r>
              <w:rPr>
                <w:rFonts w:hint="eastAsia"/>
                <w:kern w:val="0"/>
                <w:szCs w:val="21"/>
                <w:lang w:bidi="ar"/>
              </w:rPr>
              <w:t>、</w:t>
            </w:r>
            <w:r>
              <w:rPr>
                <w:kern w:val="0"/>
                <w:szCs w:val="21"/>
                <w:lang w:bidi="ar"/>
              </w:rPr>
              <w:t>B2.3</w:t>
            </w:r>
            <w:r>
              <w:rPr>
                <w:rFonts w:hint="eastAsia"/>
                <w:kern w:val="0"/>
                <w:szCs w:val="21"/>
                <w:lang w:bidi="ar"/>
              </w:rPr>
              <w:t>、</w:t>
            </w:r>
            <w:r>
              <w:rPr>
                <w:kern w:val="0"/>
                <w:szCs w:val="21"/>
                <w:lang w:bidi="ar"/>
              </w:rPr>
              <w:t>B2.9</w:t>
            </w:r>
            <w:r>
              <w:rPr>
                <w:rFonts w:hint="eastAsia"/>
                <w:kern w:val="0"/>
                <w:szCs w:val="21"/>
                <w:lang w:bidi="ar"/>
              </w:rPr>
              <w:t>、</w:t>
            </w:r>
            <w:r>
              <w:rPr>
                <w:kern w:val="0"/>
                <w:szCs w:val="21"/>
                <w:lang w:bidi="ar"/>
              </w:rPr>
              <w:t>B2.15</w:t>
            </w:r>
            <w:r>
              <w:rPr>
                <w:rFonts w:hint="eastAsia"/>
                <w:kern w:val="0"/>
                <w:szCs w:val="21"/>
                <w:lang w:bidi="ar"/>
              </w:rPr>
              <w:t>等</w:t>
            </w:r>
            <w:r>
              <w:rPr>
                <w:kern w:val="0"/>
                <w:szCs w:val="21"/>
                <w:lang w:bidi="ar"/>
              </w:rPr>
              <w:t>区段平均值</w:t>
            </w:r>
            <w:r>
              <w:rPr>
                <w:rFonts w:hint="eastAsia"/>
                <w:kern w:val="0"/>
                <w:szCs w:val="21"/>
                <w:lang w:bidi="ar"/>
              </w:rPr>
              <w:t>，即</w:t>
            </w:r>
            <w:r>
              <w:rPr>
                <w:kern w:val="0"/>
                <w:szCs w:val="21"/>
                <w:lang w:bidi="ar"/>
              </w:rPr>
              <w:t>B2.1</w:t>
            </w:r>
            <w:r>
              <w:rPr>
                <w:rFonts w:hint="eastAsia"/>
                <w:kern w:val="0"/>
                <w:szCs w:val="21"/>
                <w:lang w:bidi="ar"/>
              </w:rPr>
              <w:t>、</w:t>
            </w:r>
            <w:r>
              <w:rPr>
                <w:kern w:val="0"/>
                <w:szCs w:val="21"/>
                <w:lang w:bidi="ar"/>
              </w:rPr>
              <w:t>B2.3</w:t>
            </w:r>
            <w:r>
              <w:rPr>
                <w:rFonts w:hint="eastAsia"/>
                <w:kern w:val="0"/>
                <w:szCs w:val="21"/>
                <w:lang w:bidi="ar"/>
              </w:rPr>
              <w:t>、</w:t>
            </w:r>
            <w:r>
              <w:rPr>
                <w:kern w:val="0"/>
                <w:szCs w:val="21"/>
                <w:lang w:bidi="ar"/>
              </w:rPr>
              <w:t>B2.9</w:t>
            </w:r>
            <w:r>
              <w:rPr>
                <w:rFonts w:hint="eastAsia"/>
                <w:kern w:val="0"/>
                <w:szCs w:val="21"/>
                <w:lang w:bidi="ar"/>
              </w:rPr>
              <w:t>、</w:t>
            </w:r>
            <w:r>
              <w:rPr>
                <w:kern w:val="0"/>
                <w:szCs w:val="21"/>
                <w:lang w:bidi="ar"/>
              </w:rPr>
              <w:t>B2.15</w:t>
            </w:r>
            <w:r>
              <w:rPr>
                <w:rFonts w:hint="eastAsia"/>
                <w:kern w:val="0"/>
                <w:szCs w:val="21"/>
                <w:lang w:bidi="ar"/>
              </w:rPr>
              <w:t>以及其权重均等于0，则评标价平均值B</w:t>
            </w:r>
            <w:r>
              <w:rPr>
                <w:kern w:val="0"/>
                <w:szCs w:val="21"/>
                <w:lang w:bidi="ar"/>
              </w:rPr>
              <w:t>=[0.0*0.0+0.3*</w:t>
            </w:r>
            <w:r>
              <w:rPr>
                <w:szCs w:val="21"/>
              </w:rPr>
              <w:t>B2.2+</w:t>
            </w:r>
            <w:r>
              <w:rPr>
                <w:kern w:val="0"/>
                <w:szCs w:val="21"/>
                <w:lang w:bidi="ar"/>
              </w:rPr>
              <w:t>0.0*0.0</w:t>
            </w:r>
            <w:r>
              <w:rPr>
                <w:rFonts w:hint="eastAsia"/>
                <w:kern w:val="0"/>
                <w:szCs w:val="21"/>
                <w:lang w:bidi="ar"/>
              </w:rPr>
              <w:t>+</w:t>
            </w:r>
            <w:r>
              <w:rPr>
                <w:kern w:val="0"/>
                <w:szCs w:val="21"/>
                <w:lang w:bidi="ar"/>
              </w:rPr>
              <w:t>1</w:t>
            </w:r>
            <w:r>
              <w:rPr>
                <w:rFonts w:hint="eastAsia"/>
                <w:kern w:val="0"/>
                <w:szCs w:val="21"/>
                <w:lang w:bidi="ar"/>
              </w:rPr>
              <w:t>.0</w:t>
            </w:r>
            <w:r>
              <w:rPr>
                <w:kern w:val="0"/>
                <w:szCs w:val="21"/>
                <w:lang w:bidi="ar"/>
              </w:rPr>
              <w:t>*</w:t>
            </w:r>
            <w:r>
              <w:rPr>
                <w:rFonts w:hint="eastAsia"/>
                <w:kern w:val="0"/>
                <w:szCs w:val="21"/>
                <w:lang w:bidi="ar"/>
              </w:rPr>
              <w:t>（</w:t>
            </w:r>
            <w:r>
              <w:rPr>
                <w:szCs w:val="21"/>
              </w:rPr>
              <w:t>B2.4+B2.5+</w:t>
            </w:r>
            <w:r>
              <w:rPr>
                <w:rFonts w:hint="eastAsia"/>
                <w:szCs w:val="21"/>
              </w:rPr>
              <w:t>……</w:t>
            </w:r>
            <w:r>
              <w:rPr>
                <w:szCs w:val="21"/>
              </w:rPr>
              <w:t>+B2.8+</w:t>
            </w:r>
            <w:r>
              <w:rPr>
                <w:kern w:val="0"/>
                <w:szCs w:val="21"/>
                <w:lang w:bidi="ar"/>
              </w:rPr>
              <w:t>0.0+</w:t>
            </w:r>
            <w:r>
              <w:rPr>
                <w:szCs w:val="21"/>
              </w:rPr>
              <w:t>B2.10+</w:t>
            </w:r>
            <w:r>
              <w:rPr>
                <w:rFonts w:hint="eastAsia"/>
                <w:szCs w:val="21"/>
              </w:rPr>
              <w:t>……</w:t>
            </w:r>
            <w:r>
              <w:rPr>
                <w:szCs w:val="21"/>
              </w:rPr>
              <w:t>B2.12+B2.13</w:t>
            </w:r>
            <w:r>
              <w:rPr>
                <w:rFonts w:hint="eastAsia"/>
                <w:kern w:val="0"/>
                <w:szCs w:val="21"/>
                <w:lang w:bidi="ar"/>
              </w:rPr>
              <w:t>）+</w:t>
            </w:r>
            <w:r>
              <w:rPr>
                <w:kern w:val="0"/>
                <w:szCs w:val="21"/>
                <w:lang w:bidi="ar"/>
              </w:rPr>
              <w:t>0.5*</w:t>
            </w:r>
            <w:r>
              <w:rPr>
                <w:szCs w:val="21"/>
              </w:rPr>
              <w:t>B2.14+</w:t>
            </w:r>
            <w:r>
              <w:rPr>
                <w:kern w:val="0"/>
                <w:szCs w:val="21"/>
                <w:lang w:bidi="ar"/>
              </w:rPr>
              <w:t>0.0*0.0</w:t>
            </w:r>
            <w:r>
              <w:rPr>
                <w:rFonts w:hint="eastAsia"/>
                <w:kern w:val="0"/>
                <w:szCs w:val="21"/>
                <w:lang w:bidi="ar"/>
              </w:rPr>
              <w:t>+</w:t>
            </w:r>
            <w:r>
              <w:rPr>
                <w:szCs w:val="21"/>
              </w:rPr>
              <w:t>0.1*</w:t>
            </w:r>
            <w:r>
              <w:rPr>
                <w:rFonts w:hint="eastAsia"/>
                <w:szCs w:val="21"/>
              </w:rPr>
              <w:t>B</w:t>
            </w:r>
            <w:r>
              <w:rPr>
                <w:szCs w:val="21"/>
              </w:rPr>
              <w:t>2.16</w:t>
            </w:r>
            <w:r>
              <w:rPr>
                <w:rFonts w:hint="eastAsia"/>
                <w:kern w:val="0"/>
                <w:szCs w:val="21"/>
                <w:lang w:bidi="ar"/>
              </w:rPr>
              <w:t>]/</w:t>
            </w:r>
            <w:r>
              <w:rPr>
                <w:kern w:val="0"/>
                <w:szCs w:val="21"/>
                <w:lang w:bidi="ar"/>
              </w:rPr>
              <w:t>[0.0+0.3+0.0+1</w:t>
            </w:r>
            <w:r>
              <w:rPr>
                <w:rFonts w:hint="eastAsia"/>
                <w:kern w:val="0"/>
                <w:szCs w:val="21"/>
                <w:lang w:bidi="ar"/>
              </w:rPr>
              <w:t>.0</w:t>
            </w:r>
            <w:r>
              <w:rPr>
                <w:kern w:val="0"/>
                <w:szCs w:val="21"/>
                <w:lang w:bidi="ar"/>
              </w:rPr>
              <w:t>+1</w:t>
            </w:r>
            <w:r>
              <w:rPr>
                <w:rFonts w:hint="eastAsia"/>
                <w:kern w:val="0"/>
                <w:szCs w:val="21"/>
                <w:lang w:bidi="ar"/>
              </w:rPr>
              <w:t>.0</w:t>
            </w:r>
            <w:r>
              <w:rPr>
                <w:kern w:val="0"/>
                <w:szCs w:val="21"/>
                <w:lang w:bidi="ar"/>
              </w:rPr>
              <w:t>+1</w:t>
            </w:r>
            <w:r>
              <w:rPr>
                <w:rFonts w:hint="eastAsia"/>
                <w:kern w:val="0"/>
                <w:szCs w:val="21"/>
                <w:lang w:bidi="ar"/>
              </w:rPr>
              <w:t>.0</w:t>
            </w:r>
            <w:r>
              <w:rPr>
                <w:kern w:val="0"/>
                <w:szCs w:val="21"/>
                <w:lang w:bidi="ar"/>
              </w:rPr>
              <w:t>+1</w:t>
            </w:r>
            <w:r>
              <w:rPr>
                <w:rFonts w:hint="eastAsia"/>
                <w:kern w:val="0"/>
                <w:szCs w:val="21"/>
                <w:lang w:bidi="ar"/>
              </w:rPr>
              <w:t>.0</w:t>
            </w:r>
            <w:r>
              <w:rPr>
                <w:kern w:val="0"/>
                <w:szCs w:val="21"/>
                <w:lang w:bidi="ar"/>
              </w:rPr>
              <w:t>+1</w:t>
            </w:r>
            <w:r>
              <w:rPr>
                <w:rFonts w:hint="eastAsia"/>
                <w:kern w:val="0"/>
                <w:szCs w:val="21"/>
                <w:lang w:bidi="ar"/>
              </w:rPr>
              <w:t>.0</w:t>
            </w:r>
            <w:r>
              <w:rPr>
                <w:kern w:val="0"/>
                <w:szCs w:val="21"/>
                <w:lang w:bidi="ar"/>
              </w:rPr>
              <w:t>+0.0+1</w:t>
            </w:r>
            <w:r>
              <w:rPr>
                <w:rFonts w:hint="eastAsia"/>
                <w:kern w:val="0"/>
                <w:szCs w:val="21"/>
                <w:lang w:bidi="ar"/>
              </w:rPr>
              <w:t>.0</w:t>
            </w:r>
            <w:r>
              <w:rPr>
                <w:kern w:val="0"/>
                <w:szCs w:val="21"/>
                <w:lang w:bidi="ar"/>
              </w:rPr>
              <w:t>+1</w:t>
            </w:r>
            <w:r>
              <w:rPr>
                <w:rFonts w:hint="eastAsia"/>
                <w:kern w:val="0"/>
                <w:szCs w:val="21"/>
                <w:lang w:bidi="ar"/>
              </w:rPr>
              <w:t>.0</w:t>
            </w:r>
            <w:r>
              <w:rPr>
                <w:kern w:val="0"/>
                <w:szCs w:val="21"/>
                <w:lang w:bidi="ar"/>
              </w:rPr>
              <w:t>+1</w:t>
            </w:r>
            <w:r>
              <w:rPr>
                <w:rFonts w:hint="eastAsia"/>
                <w:kern w:val="0"/>
                <w:szCs w:val="21"/>
                <w:lang w:bidi="ar"/>
              </w:rPr>
              <w:t>.0</w:t>
            </w:r>
            <w:r>
              <w:rPr>
                <w:kern w:val="0"/>
                <w:szCs w:val="21"/>
                <w:lang w:bidi="ar"/>
              </w:rPr>
              <w:t>+1</w:t>
            </w:r>
            <w:r>
              <w:rPr>
                <w:rFonts w:hint="eastAsia"/>
                <w:kern w:val="0"/>
                <w:szCs w:val="21"/>
                <w:lang w:bidi="ar"/>
              </w:rPr>
              <w:t>.0</w:t>
            </w:r>
            <w:r>
              <w:rPr>
                <w:kern w:val="0"/>
                <w:szCs w:val="21"/>
                <w:lang w:bidi="ar"/>
              </w:rPr>
              <w:t>+0.5+0.0+0.1]</w:t>
            </w:r>
            <w:r>
              <w:rPr>
                <w:rFonts w:hint="eastAsia"/>
                <w:kern w:val="0"/>
                <w:szCs w:val="21"/>
                <w:lang w:bidi="ar"/>
              </w:rPr>
              <w:t>。</w:t>
            </w:r>
          </w:p>
          <w:p w14:paraId="52BDB4C4">
            <w:pPr>
              <w:widowControl/>
              <w:spacing w:line="360" w:lineRule="exact"/>
              <w:ind w:firstLine="422" w:firstLineChars="200"/>
              <w:jc w:val="left"/>
              <w:rPr>
                <w:b/>
                <w:bCs/>
                <w:kern w:val="0"/>
                <w:szCs w:val="21"/>
                <w:lang w:bidi="ar"/>
              </w:rPr>
            </w:pPr>
            <w:r>
              <w:rPr>
                <w:rFonts w:hint="eastAsia"/>
                <w:b/>
                <w:bCs/>
                <w:kern w:val="0"/>
                <w:szCs w:val="21"/>
                <w:lang w:bidi="ar"/>
              </w:rPr>
              <w:t>三、评标价平均值（B）计算方法2</w:t>
            </w:r>
          </w:p>
          <w:p w14:paraId="52CC98FF">
            <w:pPr>
              <w:widowControl/>
              <w:spacing w:line="360" w:lineRule="exact"/>
              <w:ind w:firstLine="420" w:firstLineChars="200"/>
              <w:jc w:val="left"/>
              <w:rPr>
                <w:kern w:val="0"/>
                <w:szCs w:val="21"/>
                <w:lang w:bidi="ar"/>
              </w:rPr>
            </w:pPr>
            <w:r>
              <w:rPr>
                <w:rFonts w:hint="eastAsia"/>
                <w:kern w:val="0"/>
                <w:szCs w:val="21"/>
                <w:lang w:bidi="ar"/>
              </w:rPr>
              <w:t>根据所有参加评标价平均值计算的评标价（个数用P表示）计算评标价平均值（B）。C为招标人设定的最高投标限价。评标价平均值保留七位小数，小数点后第八位</w:t>
            </w:r>
            <w:r>
              <w:rPr>
                <w:rFonts w:hint="eastAsia" w:cs="宋体"/>
                <w:kern w:val="0"/>
                <w:szCs w:val="21"/>
                <w:lang w:bidi="ar"/>
              </w:rPr>
              <w:t>“</w:t>
            </w:r>
            <w:r>
              <w:rPr>
                <w:rFonts w:hint="eastAsia"/>
                <w:kern w:val="0"/>
                <w:szCs w:val="21"/>
                <w:lang w:bidi="ar"/>
              </w:rPr>
              <w:t>四舍五入</w:t>
            </w:r>
            <w:r>
              <w:rPr>
                <w:rFonts w:hint="eastAsia" w:cs="宋体"/>
                <w:kern w:val="0"/>
                <w:szCs w:val="21"/>
                <w:lang w:bidi="ar"/>
              </w:rPr>
              <w:t>”</w:t>
            </w:r>
            <w:r>
              <w:rPr>
                <w:rFonts w:hint="eastAsia"/>
                <w:kern w:val="0"/>
                <w:szCs w:val="21"/>
                <w:lang w:bidi="ar"/>
              </w:rPr>
              <w:t>。</w:t>
            </w:r>
          </w:p>
          <w:p w14:paraId="0E1647A8">
            <w:pPr>
              <w:widowControl/>
              <w:spacing w:line="360" w:lineRule="exact"/>
              <w:ind w:firstLine="420" w:firstLineChars="200"/>
              <w:jc w:val="left"/>
              <w:rPr>
                <w:kern w:val="0"/>
                <w:szCs w:val="21"/>
                <w:lang w:bidi="ar"/>
              </w:rPr>
            </w:pPr>
            <w:r>
              <w:rPr>
                <w:rFonts w:hint="eastAsia"/>
                <w:kern w:val="0"/>
                <w:szCs w:val="21"/>
                <w:lang w:bidi="ar"/>
              </w:rPr>
              <w:t>1、当P</w:t>
            </w:r>
            <w:r>
              <w:rPr>
                <w:kern w:val="0"/>
                <w:szCs w:val="21"/>
                <w:lang w:bidi="ar"/>
              </w:rPr>
              <w:t>=0</w:t>
            </w:r>
            <w:r>
              <w:rPr>
                <w:rFonts w:hint="eastAsia"/>
                <w:kern w:val="0"/>
                <w:szCs w:val="21"/>
                <w:lang w:bidi="ar"/>
              </w:rPr>
              <w:t>时，即所有评标价均低于</w:t>
            </w:r>
            <w:r>
              <w:rPr>
                <w:rFonts w:hint="eastAsia"/>
                <w:kern w:val="0"/>
                <w:szCs w:val="21"/>
                <w:u w:val="single"/>
                <w:lang w:bidi="ar"/>
              </w:rPr>
              <w:t>G</w:t>
            </w:r>
            <w:r>
              <w:rPr>
                <w:kern w:val="0"/>
                <w:szCs w:val="21"/>
                <w:lang w:bidi="ar"/>
              </w:rPr>
              <w:t>%</w:t>
            </w:r>
            <w:r>
              <w:rPr>
                <w:rFonts w:hint="eastAsia"/>
                <w:kern w:val="0"/>
                <w:szCs w:val="21"/>
                <w:lang w:bidi="ar"/>
              </w:rPr>
              <w:t>*C值（最高投标限价的</w:t>
            </w:r>
            <w:r>
              <w:rPr>
                <w:rFonts w:hint="eastAsia"/>
                <w:kern w:val="0"/>
                <w:szCs w:val="21"/>
                <w:u w:val="single"/>
                <w:lang w:bidi="ar"/>
              </w:rPr>
              <w:t>G</w:t>
            </w:r>
            <w:r>
              <w:rPr>
                <w:kern w:val="0"/>
                <w:szCs w:val="21"/>
                <w:lang w:bidi="ar"/>
              </w:rPr>
              <w:t>%</w:t>
            </w:r>
            <w:r>
              <w:rPr>
                <w:rFonts w:hint="eastAsia"/>
                <w:kern w:val="0"/>
                <w:szCs w:val="21"/>
                <w:lang w:bidi="ar"/>
              </w:rPr>
              <w:t>），则评标价平均值（B）直接为</w:t>
            </w:r>
            <w:r>
              <w:rPr>
                <w:rFonts w:hint="eastAsia"/>
                <w:kern w:val="0"/>
                <w:szCs w:val="21"/>
                <w:u w:val="single"/>
                <w:lang w:bidi="ar"/>
              </w:rPr>
              <w:t>G</w:t>
            </w:r>
            <w:r>
              <w:rPr>
                <w:kern w:val="0"/>
                <w:szCs w:val="21"/>
                <w:u w:val="single"/>
                <w:lang w:bidi="ar"/>
              </w:rPr>
              <w:t>%</w:t>
            </w:r>
            <w:r>
              <w:rPr>
                <w:rFonts w:hint="eastAsia"/>
                <w:kern w:val="0"/>
                <w:szCs w:val="21"/>
                <w:lang w:bidi="ar"/>
              </w:rPr>
              <w:t>*C值（最高投标限价的</w:t>
            </w:r>
            <w:r>
              <w:rPr>
                <w:rFonts w:hint="eastAsia"/>
                <w:kern w:val="0"/>
                <w:szCs w:val="21"/>
                <w:u w:val="single"/>
                <w:lang w:bidi="ar"/>
              </w:rPr>
              <w:t>G</w:t>
            </w:r>
            <w:r>
              <w:rPr>
                <w:kern w:val="0"/>
                <w:szCs w:val="21"/>
                <w:u w:val="single"/>
                <w:lang w:bidi="ar"/>
              </w:rPr>
              <w:t>%</w:t>
            </w:r>
            <w:r>
              <w:rPr>
                <w:rFonts w:hint="eastAsia"/>
                <w:kern w:val="0"/>
                <w:szCs w:val="21"/>
                <w:lang w:bidi="ar"/>
              </w:rPr>
              <w:t>）。</w:t>
            </w:r>
          </w:p>
          <w:p w14:paraId="07C7A36B">
            <w:pPr>
              <w:widowControl/>
              <w:spacing w:line="360" w:lineRule="exact"/>
              <w:ind w:firstLine="420" w:firstLineChars="200"/>
              <w:jc w:val="left"/>
              <w:rPr>
                <w:kern w:val="0"/>
                <w:szCs w:val="21"/>
                <w:lang w:bidi="ar"/>
              </w:rPr>
            </w:pPr>
            <w:r>
              <w:rPr>
                <w:kern w:val="0"/>
                <w:szCs w:val="21"/>
                <w:lang w:bidi="ar"/>
              </w:rPr>
              <w:t>2</w:t>
            </w:r>
            <w:r>
              <w:rPr>
                <w:rFonts w:hint="eastAsia"/>
                <w:kern w:val="0"/>
                <w:szCs w:val="21"/>
                <w:lang w:bidi="ar"/>
              </w:rPr>
              <w:t>、当0＜P≤</w:t>
            </w:r>
            <w:r>
              <w:rPr>
                <w:kern w:val="0"/>
                <w:szCs w:val="21"/>
                <w:lang w:bidi="ar"/>
              </w:rPr>
              <w:t>5</w:t>
            </w:r>
            <w:r>
              <w:rPr>
                <w:rFonts w:hint="eastAsia"/>
                <w:kern w:val="0"/>
                <w:szCs w:val="21"/>
                <w:lang w:bidi="ar"/>
              </w:rPr>
              <w:t>时，评标价平均值（B）为P个评标价的算术平均值。</w:t>
            </w:r>
          </w:p>
          <w:p w14:paraId="10D4F9DE">
            <w:pPr>
              <w:widowControl/>
              <w:spacing w:line="360" w:lineRule="exact"/>
              <w:ind w:firstLine="420" w:firstLineChars="200"/>
              <w:jc w:val="left"/>
              <w:rPr>
                <w:kern w:val="0"/>
                <w:szCs w:val="21"/>
                <w:lang w:bidi="ar"/>
              </w:rPr>
            </w:pPr>
            <w:r>
              <w:rPr>
                <w:kern w:val="0"/>
                <w:szCs w:val="21"/>
                <w:lang w:bidi="ar"/>
              </w:rPr>
              <w:t>3</w:t>
            </w:r>
            <w:r>
              <w:rPr>
                <w:rFonts w:hint="eastAsia"/>
                <w:kern w:val="0"/>
                <w:szCs w:val="21"/>
                <w:lang w:bidi="ar"/>
              </w:rPr>
              <w:t>、当</w:t>
            </w:r>
            <w:r>
              <w:rPr>
                <w:kern w:val="0"/>
                <w:szCs w:val="21"/>
                <w:lang w:bidi="ar"/>
              </w:rPr>
              <w:t>6</w:t>
            </w:r>
            <w:r>
              <w:rPr>
                <w:rFonts w:hint="eastAsia"/>
                <w:kern w:val="0"/>
                <w:szCs w:val="21"/>
                <w:lang w:bidi="ar"/>
              </w:rPr>
              <w:t>≤P≤9时，在P个评标价中，去掉</w:t>
            </w:r>
            <w:r>
              <w:rPr>
                <w:kern w:val="0"/>
                <w:szCs w:val="21"/>
                <w:lang w:bidi="ar"/>
              </w:rPr>
              <w:t>1</w:t>
            </w:r>
            <w:r>
              <w:rPr>
                <w:rFonts w:hint="eastAsia"/>
                <w:kern w:val="0"/>
                <w:szCs w:val="21"/>
                <w:lang w:bidi="ar"/>
              </w:rPr>
              <w:t>个最高值和</w:t>
            </w:r>
            <w:r>
              <w:rPr>
                <w:kern w:val="0"/>
                <w:szCs w:val="21"/>
                <w:lang w:bidi="ar"/>
              </w:rPr>
              <w:t>1</w:t>
            </w:r>
            <w:r>
              <w:rPr>
                <w:rFonts w:hint="eastAsia"/>
                <w:kern w:val="0"/>
                <w:szCs w:val="21"/>
                <w:lang w:bidi="ar"/>
              </w:rPr>
              <w:t>个最低值后的其余评标价的算术平均值为评标价平均值（B）。</w:t>
            </w:r>
          </w:p>
          <w:p w14:paraId="558283C0">
            <w:pPr>
              <w:widowControl/>
              <w:spacing w:line="360" w:lineRule="exact"/>
              <w:ind w:firstLine="420" w:firstLineChars="200"/>
              <w:jc w:val="left"/>
              <w:rPr>
                <w:kern w:val="0"/>
                <w:szCs w:val="21"/>
                <w:lang w:bidi="ar"/>
              </w:rPr>
            </w:pPr>
            <w:r>
              <w:rPr>
                <w:kern w:val="0"/>
                <w:szCs w:val="21"/>
                <w:lang w:bidi="ar"/>
              </w:rPr>
              <w:t>4</w:t>
            </w:r>
            <w:r>
              <w:rPr>
                <w:rFonts w:hint="eastAsia"/>
                <w:kern w:val="0"/>
                <w:szCs w:val="21"/>
                <w:lang w:bidi="ar"/>
              </w:rPr>
              <w:t>、当P≥</w:t>
            </w:r>
            <w:r>
              <w:rPr>
                <w:kern w:val="0"/>
                <w:szCs w:val="21"/>
                <w:lang w:bidi="ar"/>
              </w:rPr>
              <w:t>10</w:t>
            </w:r>
            <w:r>
              <w:rPr>
                <w:rFonts w:hint="eastAsia"/>
                <w:kern w:val="0"/>
                <w:szCs w:val="21"/>
                <w:lang w:bidi="ar"/>
              </w:rPr>
              <w:t>时，在P个评标价中，去掉P1个最高值和P2个最低值后的其余评标价的算术平均值为评标价平均值（B）。</w:t>
            </w:r>
          </w:p>
          <w:p w14:paraId="0B054F3E">
            <w:pPr>
              <w:widowControl/>
              <w:spacing w:line="360" w:lineRule="exact"/>
              <w:ind w:firstLine="420" w:firstLineChars="200"/>
              <w:jc w:val="left"/>
              <w:rPr>
                <w:kern w:val="0"/>
                <w:szCs w:val="21"/>
                <w:lang w:bidi="ar"/>
              </w:rPr>
            </w:pPr>
            <w:r>
              <w:rPr>
                <w:rFonts w:hint="eastAsia"/>
                <w:kern w:val="0"/>
                <w:szCs w:val="21"/>
                <w:lang w:bidi="ar"/>
              </w:rPr>
              <w:t>P</w:t>
            </w:r>
            <w:r>
              <w:rPr>
                <w:kern w:val="0"/>
                <w:szCs w:val="21"/>
                <w:lang w:bidi="ar"/>
              </w:rPr>
              <w:t>1=</w:t>
            </w:r>
            <w:r>
              <w:rPr>
                <w:rFonts w:hint="eastAsia"/>
                <w:kern w:val="0"/>
                <w:szCs w:val="21"/>
                <w:lang w:bidi="ar"/>
              </w:rPr>
              <w:t>Q</w:t>
            </w:r>
            <w:r>
              <w:rPr>
                <w:kern w:val="0"/>
                <w:szCs w:val="21"/>
                <w:lang w:bidi="ar"/>
              </w:rPr>
              <w:t>1</w:t>
            </w:r>
            <w:r>
              <w:rPr>
                <w:rFonts w:hint="eastAsia"/>
                <w:kern w:val="0"/>
                <w:szCs w:val="21"/>
                <w:lang w:bidi="ar"/>
              </w:rPr>
              <w:t>，P</w:t>
            </w:r>
            <w:r>
              <w:rPr>
                <w:kern w:val="0"/>
                <w:szCs w:val="21"/>
                <w:lang w:bidi="ar"/>
              </w:rPr>
              <w:t>2=</w:t>
            </w:r>
            <w:r>
              <w:rPr>
                <w:rFonts w:hint="eastAsia"/>
                <w:kern w:val="0"/>
                <w:szCs w:val="21"/>
                <w:lang w:bidi="ar"/>
              </w:rPr>
              <w:t>Q</w:t>
            </w:r>
            <w:r>
              <w:rPr>
                <w:kern w:val="0"/>
                <w:szCs w:val="21"/>
                <w:lang w:bidi="ar"/>
              </w:rPr>
              <w:t>2</w:t>
            </w:r>
            <w:r>
              <w:rPr>
                <w:rFonts w:hint="eastAsia"/>
                <w:kern w:val="0"/>
                <w:szCs w:val="21"/>
                <w:lang w:bidi="ar"/>
              </w:rPr>
              <w:t>。Q</w:t>
            </w:r>
            <w:r>
              <w:rPr>
                <w:kern w:val="0"/>
                <w:szCs w:val="21"/>
                <w:lang w:bidi="ar"/>
              </w:rPr>
              <w:t>1</w:t>
            </w:r>
            <w:r>
              <w:rPr>
                <w:rFonts w:hint="eastAsia"/>
                <w:kern w:val="0"/>
                <w:szCs w:val="21"/>
                <w:lang w:bidi="ar"/>
              </w:rPr>
              <w:t>、Q</w:t>
            </w:r>
            <w:r>
              <w:rPr>
                <w:kern w:val="0"/>
                <w:szCs w:val="21"/>
                <w:lang w:bidi="ar"/>
              </w:rPr>
              <w:t>2</w:t>
            </w:r>
            <w:r>
              <w:rPr>
                <w:rFonts w:hint="eastAsia"/>
                <w:kern w:val="0"/>
                <w:szCs w:val="21"/>
                <w:lang w:bidi="ar"/>
              </w:rPr>
              <w:t>是在取值区间（1～Q）中随机抽取的两个数值，较大的数值为Q</w:t>
            </w:r>
            <w:r>
              <w:rPr>
                <w:kern w:val="0"/>
                <w:szCs w:val="21"/>
                <w:lang w:bidi="ar"/>
              </w:rPr>
              <w:t>1</w:t>
            </w:r>
            <w:r>
              <w:rPr>
                <w:rFonts w:hint="eastAsia"/>
                <w:kern w:val="0"/>
                <w:szCs w:val="21"/>
                <w:lang w:bidi="ar"/>
              </w:rPr>
              <w:t>，较小的数值为Q</w:t>
            </w:r>
            <w:r>
              <w:rPr>
                <w:kern w:val="0"/>
                <w:szCs w:val="21"/>
                <w:lang w:bidi="ar"/>
              </w:rPr>
              <w:t>2</w:t>
            </w:r>
            <w:r>
              <w:rPr>
                <w:rFonts w:hint="eastAsia"/>
                <w:kern w:val="0"/>
                <w:szCs w:val="21"/>
                <w:lang w:bidi="ar"/>
              </w:rPr>
              <w:t>。Q=INT（P/5），即Q为（P</w:t>
            </w:r>
            <w:r>
              <w:rPr>
                <w:kern w:val="0"/>
                <w:szCs w:val="21"/>
                <w:lang w:bidi="ar"/>
              </w:rPr>
              <w:t>/5</w:t>
            </w:r>
            <w:r>
              <w:rPr>
                <w:rFonts w:hint="eastAsia"/>
                <w:kern w:val="0"/>
                <w:szCs w:val="21"/>
                <w:lang w:bidi="ar"/>
              </w:rPr>
              <w:t>）向下取整。</w:t>
            </w:r>
          </w:p>
          <w:p w14:paraId="65BDC5FA">
            <w:pPr>
              <w:widowControl/>
              <w:spacing w:line="360" w:lineRule="exact"/>
              <w:ind w:firstLine="422" w:firstLineChars="200"/>
              <w:jc w:val="left"/>
              <w:rPr>
                <w:b/>
                <w:bCs/>
                <w:kern w:val="0"/>
                <w:szCs w:val="21"/>
                <w:lang w:bidi="ar"/>
              </w:rPr>
            </w:pPr>
            <w:r>
              <w:rPr>
                <w:rFonts w:hint="eastAsia"/>
                <w:b/>
                <w:bCs/>
                <w:kern w:val="0"/>
                <w:szCs w:val="21"/>
                <w:lang w:bidi="ar"/>
              </w:rPr>
              <w:t>四、评标价平均值（B）计算方法3</w:t>
            </w:r>
          </w:p>
          <w:p w14:paraId="3C60FA76">
            <w:pPr>
              <w:widowControl/>
              <w:spacing w:line="360" w:lineRule="exact"/>
              <w:ind w:firstLine="420" w:firstLineChars="200"/>
              <w:jc w:val="left"/>
              <w:rPr>
                <w:kern w:val="0"/>
                <w:szCs w:val="21"/>
                <w:lang w:bidi="ar"/>
              </w:rPr>
            </w:pPr>
            <w:r>
              <w:rPr>
                <w:rFonts w:hint="eastAsia"/>
                <w:kern w:val="0"/>
                <w:szCs w:val="21"/>
                <w:lang w:bidi="ar"/>
              </w:rPr>
              <w:t>根据所有参加评标价平均值计算的评标价（个数用P表示）计算评标价平均值（B）。C为招标人设定的最高投标限价。评标价平均值保留七位小数，小数点后第八位</w:t>
            </w:r>
            <w:r>
              <w:rPr>
                <w:rFonts w:hint="eastAsia" w:cs="宋体"/>
                <w:kern w:val="0"/>
                <w:szCs w:val="21"/>
                <w:lang w:bidi="ar"/>
              </w:rPr>
              <w:t>“</w:t>
            </w:r>
            <w:r>
              <w:rPr>
                <w:rFonts w:hint="eastAsia"/>
                <w:kern w:val="0"/>
                <w:szCs w:val="21"/>
                <w:lang w:bidi="ar"/>
              </w:rPr>
              <w:t>四舍五入</w:t>
            </w:r>
            <w:r>
              <w:rPr>
                <w:rFonts w:hint="eastAsia" w:cs="宋体"/>
                <w:kern w:val="0"/>
                <w:szCs w:val="21"/>
                <w:lang w:bidi="ar"/>
              </w:rPr>
              <w:t>”</w:t>
            </w:r>
            <w:r>
              <w:rPr>
                <w:rFonts w:hint="eastAsia"/>
                <w:kern w:val="0"/>
                <w:szCs w:val="21"/>
                <w:lang w:bidi="ar"/>
              </w:rPr>
              <w:t>。</w:t>
            </w:r>
          </w:p>
          <w:p w14:paraId="6F755742">
            <w:pPr>
              <w:widowControl/>
              <w:spacing w:line="360" w:lineRule="exact"/>
              <w:ind w:firstLine="420" w:firstLineChars="200"/>
              <w:jc w:val="left"/>
              <w:rPr>
                <w:kern w:val="0"/>
                <w:szCs w:val="21"/>
                <w:lang w:bidi="ar"/>
              </w:rPr>
            </w:pPr>
            <w:r>
              <w:rPr>
                <w:rFonts w:hint="eastAsia"/>
                <w:kern w:val="0"/>
                <w:szCs w:val="21"/>
                <w:lang w:bidi="ar"/>
              </w:rPr>
              <w:t>1、当P</w:t>
            </w:r>
            <w:r>
              <w:rPr>
                <w:kern w:val="0"/>
                <w:szCs w:val="21"/>
                <w:lang w:bidi="ar"/>
              </w:rPr>
              <w:t>=0</w:t>
            </w:r>
            <w:r>
              <w:rPr>
                <w:rFonts w:hint="eastAsia"/>
                <w:kern w:val="0"/>
                <w:szCs w:val="21"/>
                <w:lang w:bidi="ar"/>
              </w:rPr>
              <w:t>时，即所有评标价均低于</w:t>
            </w:r>
            <w:r>
              <w:rPr>
                <w:rFonts w:hint="eastAsia"/>
                <w:kern w:val="0"/>
                <w:szCs w:val="21"/>
                <w:u w:val="single"/>
                <w:lang w:bidi="ar"/>
              </w:rPr>
              <w:t>G</w:t>
            </w:r>
            <w:r>
              <w:rPr>
                <w:kern w:val="0"/>
                <w:szCs w:val="21"/>
                <w:lang w:bidi="ar"/>
              </w:rPr>
              <w:t>%</w:t>
            </w:r>
            <w:r>
              <w:rPr>
                <w:rFonts w:hint="eastAsia"/>
                <w:kern w:val="0"/>
                <w:szCs w:val="21"/>
                <w:lang w:bidi="ar"/>
              </w:rPr>
              <w:t>*C值（最高投标限价的</w:t>
            </w:r>
            <w:r>
              <w:rPr>
                <w:rFonts w:hint="eastAsia"/>
                <w:kern w:val="0"/>
                <w:szCs w:val="21"/>
                <w:u w:val="single"/>
                <w:lang w:bidi="ar"/>
              </w:rPr>
              <w:t>G</w:t>
            </w:r>
            <w:r>
              <w:rPr>
                <w:kern w:val="0"/>
                <w:szCs w:val="21"/>
                <w:lang w:bidi="ar"/>
              </w:rPr>
              <w:t>%</w:t>
            </w:r>
            <w:r>
              <w:rPr>
                <w:rFonts w:hint="eastAsia"/>
                <w:kern w:val="0"/>
                <w:szCs w:val="21"/>
                <w:lang w:bidi="ar"/>
              </w:rPr>
              <w:t>），则评标价平均值（B）直接为</w:t>
            </w:r>
            <w:r>
              <w:rPr>
                <w:rFonts w:hint="eastAsia"/>
                <w:kern w:val="0"/>
                <w:szCs w:val="21"/>
                <w:u w:val="single"/>
                <w:lang w:bidi="ar"/>
              </w:rPr>
              <w:t>G</w:t>
            </w:r>
            <w:r>
              <w:rPr>
                <w:kern w:val="0"/>
                <w:szCs w:val="21"/>
                <w:u w:val="single"/>
                <w:lang w:bidi="ar"/>
              </w:rPr>
              <w:t>%</w:t>
            </w:r>
            <w:r>
              <w:rPr>
                <w:rFonts w:hint="eastAsia"/>
                <w:kern w:val="0"/>
                <w:szCs w:val="21"/>
                <w:lang w:bidi="ar"/>
              </w:rPr>
              <w:t>*C值（最高投标限价的</w:t>
            </w:r>
            <w:r>
              <w:rPr>
                <w:rFonts w:hint="eastAsia"/>
                <w:kern w:val="0"/>
                <w:szCs w:val="21"/>
                <w:u w:val="single"/>
                <w:lang w:bidi="ar"/>
              </w:rPr>
              <w:t>G</w:t>
            </w:r>
            <w:r>
              <w:rPr>
                <w:kern w:val="0"/>
                <w:szCs w:val="21"/>
                <w:u w:val="single"/>
                <w:lang w:bidi="ar"/>
              </w:rPr>
              <w:t>%</w:t>
            </w:r>
            <w:r>
              <w:rPr>
                <w:rFonts w:hint="eastAsia"/>
                <w:kern w:val="0"/>
                <w:szCs w:val="21"/>
                <w:lang w:bidi="ar"/>
              </w:rPr>
              <w:t>）。</w:t>
            </w:r>
          </w:p>
          <w:p w14:paraId="03A16961">
            <w:pPr>
              <w:widowControl/>
              <w:spacing w:line="360" w:lineRule="exact"/>
              <w:ind w:firstLine="420" w:firstLineChars="200"/>
              <w:jc w:val="left"/>
              <w:rPr>
                <w:kern w:val="0"/>
                <w:szCs w:val="21"/>
                <w:lang w:bidi="ar"/>
              </w:rPr>
            </w:pPr>
            <w:r>
              <w:rPr>
                <w:rFonts w:hint="eastAsia"/>
                <w:kern w:val="0"/>
                <w:szCs w:val="21"/>
                <w:lang w:bidi="ar"/>
              </w:rPr>
              <w:t>2、当0＜P≤</w:t>
            </w:r>
            <w:r>
              <w:rPr>
                <w:kern w:val="0"/>
                <w:szCs w:val="21"/>
                <w:lang w:bidi="ar"/>
              </w:rPr>
              <w:t>5</w:t>
            </w:r>
            <w:r>
              <w:rPr>
                <w:rFonts w:hint="eastAsia"/>
                <w:kern w:val="0"/>
                <w:szCs w:val="21"/>
                <w:lang w:bidi="ar"/>
              </w:rPr>
              <w:t>时，评标价平均值（B）为P个评标价的算术平均值。</w:t>
            </w:r>
          </w:p>
          <w:p w14:paraId="62545F04">
            <w:pPr>
              <w:widowControl/>
              <w:spacing w:line="360" w:lineRule="exact"/>
              <w:ind w:firstLine="420" w:firstLineChars="200"/>
              <w:jc w:val="left"/>
              <w:rPr>
                <w:kern w:val="0"/>
                <w:szCs w:val="21"/>
                <w:lang w:bidi="ar"/>
              </w:rPr>
            </w:pPr>
            <w:r>
              <w:rPr>
                <w:rFonts w:hint="eastAsia"/>
                <w:kern w:val="0"/>
                <w:szCs w:val="21"/>
                <w:lang w:bidi="ar"/>
              </w:rPr>
              <w:t>3、当P=</w:t>
            </w:r>
            <w:r>
              <w:rPr>
                <w:kern w:val="0"/>
                <w:szCs w:val="21"/>
                <w:lang w:bidi="ar"/>
              </w:rPr>
              <w:t>6</w:t>
            </w:r>
            <w:r>
              <w:rPr>
                <w:rFonts w:hint="eastAsia"/>
                <w:kern w:val="0"/>
                <w:szCs w:val="21"/>
                <w:lang w:bidi="ar"/>
              </w:rPr>
              <w:t>或7时，在P个评标价中，去掉</w:t>
            </w:r>
            <w:r>
              <w:rPr>
                <w:kern w:val="0"/>
                <w:szCs w:val="21"/>
                <w:lang w:bidi="ar"/>
              </w:rPr>
              <w:t>1</w:t>
            </w:r>
            <w:r>
              <w:rPr>
                <w:rFonts w:hint="eastAsia"/>
                <w:kern w:val="0"/>
                <w:szCs w:val="21"/>
                <w:lang w:bidi="ar"/>
              </w:rPr>
              <w:t>个最高值和</w:t>
            </w:r>
            <w:r>
              <w:rPr>
                <w:kern w:val="0"/>
                <w:szCs w:val="21"/>
                <w:lang w:bidi="ar"/>
              </w:rPr>
              <w:t>1</w:t>
            </w:r>
            <w:r>
              <w:rPr>
                <w:rFonts w:hint="eastAsia"/>
                <w:kern w:val="0"/>
                <w:szCs w:val="21"/>
                <w:lang w:bidi="ar"/>
              </w:rPr>
              <w:t>个最低值后的其余评标价的算术平均值为评标价平均值（B）。</w:t>
            </w:r>
          </w:p>
          <w:p w14:paraId="59CDFFCF">
            <w:pPr>
              <w:widowControl/>
              <w:spacing w:line="360" w:lineRule="exact"/>
              <w:ind w:firstLine="420" w:firstLineChars="200"/>
              <w:jc w:val="left"/>
              <w:rPr>
                <w:kern w:val="0"/>
                <w:szCs w:val="21"/>
                <w:lang w:bidi="ar"/>
              </w:rPr>
            </w:pPr>
            <w:r>
              <w:rPr>
                <w:rFonts w:hint="eastAsia"/>
                <w:kern w:val="0"/>
                <w:szCs w:val="21"/>
                <w:lang w:bidi="ar"/>
              </w:rPr>
              <w:t>4、当P≥</w:t>
            </w:r>
            <w:r>
              <w:rPr>
                <w:kern w:val="0"/>
                <w:szCs w:val="21"/>
                <w:lang w:bidi="ar"/>
              </w:rPr>
              <w:t>8</w:t>
            </w:r>
            <w:r>
              <w:rPr>
                <w:rFonts w:hint="eastAsia"/>
                <w:kern w:val="0"/>
                <w:szCs w:val="21"/>
                <w:lang w:bidi="ar"/>
              </w:rPr>
              <w:t>时</w:t>
            </w:r>
          </w:p>
          <w:p w14:paraId="4EDB7C7E">
            <w:pPr>
              <w:widowControl/>
              <w:spacing w:line="360" w:lineRule="exact"/>
              <w:ind w:firstLine="420" w:firstLineChars="200"/>
              <w:jc w:val="left"/>
              <w:rPr>
                <w:kern w:val="0"/>
                <w:szCs w:val="21"/>
                <w:lang w:bidi="ar"/>
              </w:rPr>
            </w:pPr>
            <w:r>
              <w:rPr>
                <w:rFonts w:hint="eastAsia"/>
                <w:kern w:val="0"/>
                <w:szCs w:val="21"/>
                <w:lang w:bidi="ar"/>
              </w:rPr>
              <w:t>（1）首先，在P个评标价中，去掉P1个最高值和P2个最低值。</w:t>
            </w:r>
          </w:p>
          <w:p w14:paraId="5543D4E0">
            <w:pPr>
              <w:widowControl/>
              <w:spacing w:line="360" w:lineRule="exact"/>
              <w:ind w:firstLine="420" w:firstLineChars="200"/>
              <w:jc w:val="left"/>
              <w:rPr>
                <w:kern w:val="0"/>
                <w:szCs w:val="21"/>
                <w:lang w:bidi="ar"/>
              </w:rPr>
            </w:pPr>
            <w:r>
              <w:rPr>
                <w:rFonts w:hint="eastAsia"/>
                <w:kern w:val="0"/>
                <w:szCs w:val="21"/>
                <w:lang w:bidi="ar"/>
              </w:rPr>
              <w:t>①当P=8或9时，P1=P2=1；</w:t>
            </w:r>
          </w:p>
          <w:p w14:paraId="264A6CD1">
            <w:pPr>
              <w:widowControl/>
              <w:spacing w:line="360" w:lineRule="exact"/>
              <w:ind w:firstLine="420" w:firstLineChars="200"/>
              <w:jc w:val="left"/>
              <w:rPr>
                <w:kern w:val="0"/>
                <w:szCs w:val="21"/>
                <w:lang w:bidi="ar"/>
              </w:rPr>
            </w:pPr>
            <w:r>
              <w:rPr>
                <w:rFonts w:hint="eastAsia"/>
                <w:kern w:val="0"/>
                <w:szCs w:val="21"/>
                <w:lang w:bidi="ar"/>
              </w:rPr>
              <w:t>②当P=10或11或12或13或14时，P1=2，P2=1；</w:t>
            </w:r>
          </w:p>
          <w:p w14:paraId="103D66CB">
            <w:pPr>
              <w:widowControl/>
              <w:spacing w:line="360" w:lineRule="exact"/>
              <w:ind w:firstLine="420" w:firstLineChars="200"/>
              <w:jc w:val="left"/>
              <w:rPr>
                <w:kern w:val="0"/>
                <w:szCs w:val="21"/>
                <w:lang w:bidi="ar"/>
              </w:rPr>
            </w:pPr>
            <w:r>
              <w:rPr>
                <w:rFonts w:hint="eastAsia"/>
                <w:kern w:val="0"/>
                <w:szCs w:val="21"/>
                <w:lang w:bidi="ar"/>
              </w:rPr>
              <w:t>③当P≥15时，P</w:t>
            </w:r>
            <w:r>
              <w:rPr>
                <w:kern w:val="0"/>
                <w:szCs w:val="21"/>
                <w:lang w:bidi="ar"/>
              </w:rPr>
              <w:t>1=</w:t>
            </w:r>
            <w:r>
              <w:rPr>
                <w:rFonts w:hint="eastAsia"/>
                <w:kern w:val="0"/>
                <w:szCs w:val="21"/>
                <w:lang w:bidi="ar"/>
              </w:rPr>
              <w:t>Q</w:t>
            </w:r>
            <w:r>
              <w:rPr>
                <w:kern w:val="0"/>
                <w:szCs w:val="21"/>
                <w:lang w:bidi="ar"/>
              </w:rPr>
              <w:t>1</w:t>
            </w:r>
            <w:r>
              <w:rPr>
                <w:rFonts w:hint="eastAsia"/>
                <w:kern w:val="0"/>
                <w:szCs w:val="21"/>
                <w:lang w:bidi="ar"/>
              </w:rPr>
              <w:t>，P</w:t>
            </w:r>
            <w:r>
              <w:rPr>
                <w:kern w:val="0"/>
                <w:szCs w:val="21"/>
                <w:lang w:bidi="ar"/>
              </w:rPr>
              <w:t>2=</w:t>
            </w:r>
            <w:r>
              <w:rPr>
                <w:rFonts w:hint="eastAsia"/>
                <w:kern w:val="0"/>
                <w:szCs w:val="21"/>
                <w:lang w:bidi="ar"/>
              </w:rPr>
              <w:t>Q</w:t>
            </w:r>
            <w:r>
              <w:rPr>
                <w:kern w:val="0"/>
                <w:szCs w:val="21"/>
                <w:lang w:bidi="ar"/>
              </w:rPr>
              <w:t>2</w:t>
            </w:r>
            <w:r>
              <w:rPr>
                <w:rFonts w:hint="eastAsia"/>
                <w:kern w:val="0"/>
                <w:szCs w:val="21"/>
                <w:lang w:bidi="ar"/>
              </w:rPr>
              <w:t>。Q</w:t>
            </w:r>
            <w:r>
              <w:rPr>
                <w:kern w:val="0"/>
                <w:szCs w:val="21"/>
                <w:lang w:bidi="ar"/>
              </w:rPr>
              <w:t>1</w:t>
            </w:r>
            <w:r>
              <w:rPr>
                <w:rFonts w:hint="eastAsia"/>
                <w:kern w:val="0"/>
                <w:szCs w:val="21"/>
                <w:lang w:bidi="ar"/>
              </w:rPr>
              <w:t>、Q</w:t>
            </w:r>
            <w:r>
              <w:rPr>
                <w:kern w:val="0"/>
                <w:szCs w:val="21"/>
                <w:lang w:bidi="ar"/>
              </w:rPr>
              <w:t>2</w:t>
            </w:r>
            <w:r>
              <w:rPr>
                <w:rFonts w:hint="eastAsia"/>
                <w:kern w:val="0"/>
                <w:szCs w:val="21"/>
                <w:lang w:bidi="ar"/>
              </w:rPr>
              <w:t>是在取值区间（1～Q）中随机抽取的两个数值，较大的数值为Q</w:t>
            </w:r>
            <w:r>
              <w:rPr>
                <w:kern w:val="0"/>
                <w:szCs w:val="21"/>
                <w:lang w:bidi="ar"/>
              </w:rPr>
              <w:t>1</w:t>
            </w:r>
            <w:r>
              <w:rPr>
                <w:rFonts w:hint="eastAsia"/>
                <w:kern w:val="0"/>
                <w:szCs w:val="21"/>
                <w:lang w:bidi="ar"/>
              </w:rPr>
              <w:t>，较小的数值为Q</w:t>
            </w:r>
            <w:r>
              <w:rPr>
                <w:kern w:val="0"/>
                <w:szCs w:val="21"/>
                <w:lang w:bidi="ar"/>
              </w:rPr>
              <w:t>2</w:t>
            </w:r>
            <w:r>
              <w:rPr>
                <w:rFonts w:hint="eastAsia"/>
                <w:kern w:val="0"/>
                <w:szCs w:val="21"/>
                <w:lang w:bidi="ar"/>
              </w:rPr>
              <w:t>。Q=INT（P/5），即Q为（P</w:t>
            </w:r>
            <w:r>
              <w:rPr>
                <w:kern w:val="0"/>
                <w:szCs w:val="21"/>
                <w:lang w:bidi="ar"/>
              </w:rPr>
              <w:t>/5</w:t>
            </w:r>
            <w:r>
              <w:rPr>
                <w:rFonts w:hint="eastAsia"/>
                <w:kern w:val="0"/>
                <w:szCs w:val="21"/>
                <w:lang w:bidi="ar"/>
              </w:rPr>
              <w:t>）向下取整且最小为1。</w:t>
            </w:r>
          </w:p>
          <w:p w14:paraId="1E9D3D8F">
            <w:pPr>
              <w:widowControl/>
              <w:spacing w:line="360" w:lineRule="exact"/>
              <w:ind w:firstLine="420" w:firstLineChars="200"/>
              <w:jc w:val="left"/>
              <w:rPr>
                <w:kern w:val="0"/>
                <w:szCs w:val="21"/>
                <w:lang w:bidi="ar"/>
              </w:rPr>
            </w:pPr>
            <w:r>
              <w:rPr>
                <w:rFonts w:hint="eastAsia"/>
                <w:kern w:val="0"/>
                <w:szCs w:val="21"/>
                <w:lang w:bidi="ar"/>
              </w:rPr>
              <w:t>（2）然后，将其余评标价由低到高排列，对排列第（1、1+R、1+2R、……、1+SR）</w:t>
            </w:r>
            <w:r>
              <w:t>的评标价进行</w:t>
            </w:r>
            <w:r>
              <w:rPr>
                <w:rFonts w:hint="eastAsia"/>
              </w:rPr>
              <w:t>算术</w:t>
            </w:r>
            <w:r>
              <w:t>平均</w:t>
            </w:r>
            <w:r>
              <w:rPr>
                <w:rFonts w:hint="eastAsia"/>
              </w:rPr>
              <w:t>，该算术平均值为</w:t>
            </w:r>
            <w:r>
              <w:rPr>
                <w:rFonts w:hint="eastAsia"/>
                <w:kern w:val="0"/>
                <w:szCs w:val="21"/>
                <w:lang w:bidi="ar"/>
              </w:rPr>
              <w:t>评标价平均值（B）。</w:t>
            </w:r>
          </w:p>
          <w:p w14:paraId="114F5930">
            <w:pPr>
              <w:widowControl/>
              <w:spacing w:line="360" w:lineRule="exact"/>
              <w:ind w:firstLine="420" w:firstLineChars="200"/>
              <w:jc w:val="left"/>
              <w:rPr>
                <w:kern w:val="0"/>
                <w:szCs w:val="21"/>
                <w:lang w:bidi="ar"/>
              </w:rPr>
            </w:pPr>
            <w:r>
              <w:rPr>
                <w:kern w:val="0"/>
                <w:szCs w:val="21"/>
                <w:lang w:bidi="ar"/>
              </w:rPr>
              <w:t>R</w:t>
            </w:r>
            <w:r>
              <w:rPr>
                <w:rFonts w:hint="eastAsia"/>
                <w:kern w:val="0"/>
                <w:szCs w:val="21"/>
                <w:lang w:bidi="ar"/>
              </w:rPr>
              <w:t>为随机步距，在开标现场随机抽取，取值范围为3、4、5。</w:t>
            </w:r>
          </w:p>
          <w:p w14:paraId="2C1D4FCB">
            <w:pPr>
              <w:widowControl/>
              <w:spacing w:line="360" w:lineRule="exact"/>
              <w:ind w:firstLine="420" w:firstLineChars="200"/>
              <w:jc w:val="left"/>
              <w:rPr>
                <w:kern w:val="0"/>
                <w:szCs w:val="21"/>
                <w:lang w:bidi="ar"/>
              </w:rPr>
            </w:pPr>
            <w:r>
              <w:rPr>
                <w:rFonts w:hint="eastAsia"/>
                <w:kern w:val="0"/>
                <w:szCs w:val="21"/>
                <w:lang w:bidi="ar"/>
              </w:rPr>
              <w:t>S为步距个数，</w:t>
            </w:r>
            <w:r>
              <w:rPr>
                <w:kern w:val="0"/>
                <w:szCs w:val="21"/>
                <w:lang w:bidi="ar"/>
              </w:rPr>
              <w:t>S</w:t>
            </w:r>
            <w:r>
              <w:rPr>
                <w:rFonts w:hint="eastAsia"/>
                <w:kern w:val="0"/>
                <w:szCs w:val="21"/>
                <w:lang w:bidi="ar"/>
              </w:rPr>
              <w:t>=INT</w:t>
            </w:r>
            <w:r>
              <w:rPr>
                <w:kern w:val="0"/>
                <w:szCs w:val="21"/>
                <w:lang w:bidi="ar"/>
              </w:rPr>
              <w:t>[</w:t>
            </w:r>
            <w:r>
              <w:rPr>
                <w:rFonts w:hint="eastAsia"/>
                <w:kern w:val="0"/>
                <w:szCs w:val="21"/>
                <w:lang w:bidi="ar"/>
              </w:rPr>
              <w:t>（</w:t>
            </w:r>
            <w:r>
              <w:rPr>
                <w:kern w:val="0"/>
                <w:szCs w:val="21"/>
                <w:lang w:bidi="ar"/>
              </w:rPr>
              <w:t>P-P1-P2-1</w:t>
            </w:r>
            <w:r>
              <w:rPr>
                <w:rFonts w:hint="eastAsia"/>
                <w:kern w:val="0"/>
                <w:szCs w:val="21"/>
                <w:lang w:bidi="ar"/>
              </w:rPr>
              <w:t>）/</w:t>
            </w:r>
            <w:r>
              <w:rPr>
                <w:kern w:val="0"/>
                <w:szCs w:val="21"/>
                <w:lang w:bidi="ar"/>
              </w:rPr>
              <w:t>R]</w:t>
            </w:r>
            <w:r>
              <w:rPr>
                <w:rFonts w:hint="eastAsia"/>
                <w:kern w:val="0"/>
                <w:szCs w:val="21"/>
                <w:lang w:bidi="ar"/>
              </w:rPr>
              <w:t>，即</w:t>
            </w:r>
            <w:r>
              <w:rPr>
                <w:kern w:val="0"/>
                <w:szCs w:val="21"/>
                <w:lang w:bidi="ar"/>
              </w:rPr>
              <w:t>S</w:t>
            </w:r>
            <w:r>
              <w:rPr>
                <w:rFonts w:hint="eastAsia"/>
                <w:kern w:val="0"/>
                <w:szCs w:val="21"/>
                <w:lang w:bidi="ar"/>
              </w:rPr>
              <w:t>为</w:t>
            </w:r>
            <w:r>
              <w:rPr>
                <w:kern w:val="0"/>
                <w:szCs w:val="21"/>
                <w:lang w:bidi="ar"/>
              </w:rPr>
              <w:t>[</w:t>
            </w:r>
            <w:r>
              <w:rPr>
                <w:rFonts w:hint="eastAsia"/>
                <w:kern w:val="0"/>
                <w:szCs w:val="21"/>
                <w:lang w:bidi="ar"/>
              </w:rPr>
              <w:t>（</w:t>
            </w:r>
            <w:r>
              <w:rPr>
                <w:kern w:val="0"/>
                <w:szCs w:val="21"/>
                <w:lang w:bidi="ar"/>
              </w:rPr>
              <w:t>P-P1-P2-1</w:t>
            </w:r>
            <w:r>
              <w:rPr>
                <w:rFonts w:hint="eastAsia"/>
                <w:kern w:val="0"/>
                <w:szCs w:val="21"/>
                <w:lang w:bidi="ar"/>
              </w:rPr>
              <w:t>）/</w:t>
            </w:r>
            <w:r>
              <w:rPr>
                <w:kern w:val="0"/>
                <w:szCs w:val="21"/>
                <w:lang w:bidi="ar"/>
              </w:rPr>
              <w:t>R]</w:t>
            </w:r>
            <w:r>
              <w:rPr>
                <w:rFonts w:hint="eastAsia"/>
                <w:kern w:val="0"/>
                <w:szCs w:val="21"/>
                <w:lang w:bidi="ar"/>
              </w:rPr>
              <w:t>向下取整。</w:t>
            </w:r>
          </w:p>
          <w:p w14:paraId="7B8AF1EA">
            <w:pPr>
              <w:widowControl/>
              <w:spacing w:line="360" w:lineRule="exact"/>
              <w:ind w:firstLine="422" w:firstLineChars="200"/>
              <w:jc w:val="left"/>
              <w:rPr>
                <w:b/>
                <w:bCs/>
                <w:kern w:val="0"/>
                <w:szCs w:val="21"/>
                <w:lang w:bidi="ar"/>
              </w:rPr>
            </w:pPr>
            <w:r>
              <w:rPr>
                <w:rFonts w:hint="eastAsia"/>
                <w:b/>
                <w:bCs/>
                <w:kern w:val="0"/>
                <w:szCs w:val="21"/>
                <w:lang w:bidi="ar"/>
              </w:rPr>
              <w:t>五、</w:t>
            </w:r>
            <w:r>
              <w:rPr>
                <w:b/>
                <w:bCs/>
                <w:kern w:val="0"/>
                <w:szCs w:val="21"/>
                <w:lang w:bidi="ar"/>
              </w:rPr>
              <w:t>评标基准价</w:t>
            </w:r>
            <w:r>
              <w:rPr>
                <w:rFonts w:hint="eastAsia"/>
                <w:b/>
                <w:bCs/>
                <w:kern w:val="0"/>
                <w:szCs w:val="21"/>
                <w:lang w:bidi="ar"/>
              </w:rPr>
              <w:t>（D）</w:t>
            </w:r>
          </w:p>
          <w:p w14:paraId="1C6F8FAD">
            <w:pPr>
              <w:widowControl/>
              <w:spacing w:line="360" w:lineRule="exact"/>
              <w:ind w:firstLine="420" w:firstLineChars="200"/>
              <w:jc w:val="left"/>
              <w:rPr>
                <w:kern w:val="0"/>
                <w:szCs w:val="21"/>
                <w:lang w:bidi="ar"/>
              </w:rPr>
            </w:pPr>
            <w:r>
              <w:rPr>
                <w:rFonts w:hint="eastAsia"/>
                <w:kern w:val="0"/>
                <w:szCs w:val="21"/>
                <w:lang w:bidi="ar"/>
              </w:rPr>
              <w:t>D=D=[C*K+B*（1-K）]*（1-Z），保留七位小数，小数点后第八位</w:t>
            </w:r>
            <w:r>
              <w:rPr>
                <w:rFonts w:hint="eastAsia" w:cs="宋体"/>
                <w:kern w:val="0"/>
                <w:szCs w:val="21"/>
                <w:lang w:bidi="ar"/>
              </w:rPr>
              <w:t>“</w:t>
            </w:r>
            <w:r>
              <w:rPr>
                <w:rFonts w:hint="eastAsia"/>
                <w:kern w:val="0"/>
                <w:szCs w:val="21"/>
                <w:lang w:bidi="ar"/>
              </w:rPr>
              <w:t>四舍五入</w:t>
            </w:r>
            <w:r>
              <w:rPr>
                <w:rFonts w:hint="eastAsia" w:cs="宋体"/>
                <w:kern w:val="0"/>
                <w:szCs w:val="21"/>
                <w:lang w:bidi="ar"/>
              </w:rPr>
              <w:t>”</w:t>
            </w:r>
            <w:r>
              <w:rPr>
                <w:rFonts w:hint="eastAsia"/>
                <w:kern w:val="0"/>
                <w:szCs w:val="21"/>
                <w:lang w:bidi="ar"/>
              </w:rPr>
              <w:t>。</w:t>
            </w:r>
          </w:p>
          <w:p w14:paraId="7EE7A873">
            <w:pPr>
              <w:widowControl/>
              <w:spacing w:line="360" w:lineRule="exact"/>
              <w:ind w:firstLine="420" w:firstLineChars="200"/>
              <w:jc w:val="left"/>
            </w:pPr>
            <w:r>
              <w:rPr>
                <w:kern w:val="0"/>
                <w:szCs w:val="21"/>
                <w:lang w:bidi="ar"/>
              </w:rPr>
              <w:t>式中：</w:t>
            </w:r>
          </w:p>
          <w:p w14:paraId="1836445B">
            <w:pPr>
              <w:widowControl/>
              <w:spacing w:line="360" w:lineRule="exact"/>
              <w:ind w:firstLine="420" w:firstLineChars="200"/>
              <w:jc w:val="left"/>
              <w:rPr>
                <w:kern w:val="0"/>
                <w:szCs w:val="21"/>
                <w:lang w:bidi="ar"/>
              </w:rPr>
            </w:pPr>
            <w:r>
              <w:rPr>
                <w:rFonts w:hint="eastAsia"/>
                <w:kern w:val="0"/>
                <w:szCs w:val="21"/>
                <w:lang w:bidi="ar"/>
              </w:rPr>
              <w:t>1、C</w:t>
            </w:r>
            <w:r>
              <w:rPr>
                <w:kern w:val="0"/>
                <w:szCs w:val="21"/>
                <w:lang w:bidi="ar"/>
              </w:rPr>
              <w:t>为招标人</w:t>
            </w:r>
            <w:r>
              <w:rPr>
                <w:rFonts w:hint="eastAsia"/>
                <w:kern w:val="0"/>
                <w:szCs w:val="21"/>
                <w:lang w:bidi="ar"/>
              </w:rPr>
              <w:t>设定的</w:t>
            </w:r>
            <w:r>
              <w:rPr>
                <w:kern w:val="0"/>
                <w:szCs w:val="21"/>
                <w:lang w:bidi="ar"/>
              </w:rPr>
              <w:t>最高投标限价</w:t>
            </w:r>
            <w:r>
              <w:rPr>
                <w:rFonts w:hint="eastAsia"/>
                <w:kern w:val="0"/>
                <w:szCs w:val="21"/>
                <w:lang w:bidi="ar"/>
              </w:rPr>
              <w:t>，B为评标价平均值。</w:t>
            </w:r>
          </w:p>
          <w:p w14:paraId="74E92535">
            <w:pPr>
              <w:widowControl/>
              <w:spacing w:line="360" w:lineRule="exact"/>
              <w:ind w:firstLine="420" w:firstLineChars="200"/>
              <w:jc w:val="left"/>
              <w:rPr>
                <w:kern w:val="0"/>
                <w:szCs w:val="21"/>
                <w:lang w:bidi="ar"/>
              </w:rPr>
            </w:pPr>
            <w:r>
              <w:rPr>
                <w:kern w:val="0"/>
                <w:szCs w:val="21"/>
                <w:lang w:bidi="ar"/>
              </w:rPr>
              <w:t>2</w:t>
            </w:r>
            <w:r>
              <w:rPr>
                <w:rFonts w:hint="eastAsia"/>
                <w:kern w:val="0"/>
                <w:szCs w:val="21"/>
                <w:lang w:bidi="ar"/>
              </w:rPr>
              <w:t>、</w:t>
            </w:r>
            <w:r>
              <w:rPr>
                <w:kern w:val="0"/>
                <w:szCs w:val="21"/>
                <w:lang w:bidi="ar"/>
              </w:rPr>
              <w:t>K</w:t>
            </w:r>
            <w:r>
              <w:rPr>
                <w:rFonts w:hint="eastAsia"/>
                <w:kern w:val="0"/>
                <w:szCs w:val="21"/>
                <w:lang w:bidi="ar"/>
              </w:rPr>
              <w:t>为</w:t>
            </w:r>
            <w:r>
              <w:t>权重系数</w:t>
            </w:r>
            <w:r>
              <w:rPr>
                <w:rFonts w:hint="eastAsia"/>
              </w:rPr>
              <w:t>，K=[（K</w:t>
            </w:r>
            <w:r>
              <w:t>1/10</w:t>
            </w:r>
            <w:r>
              <w:rPr>
                <w:rFonts w:hint="eastAsia"/>
              </w:rPr>
              <w:t>）+K</w:t>
            </w:r>
            <w:r>
              <w:t>2</w:t>
            </w:r>
            <w:r>
              <w:rPr>
                <w:rFonts w:hint="eastAsia"/>
              </w:rPr>
              <w:t>]/10。各标段的</w:t>
            </w:r>
            <w:r>
              <w:t>K1</w:t>
            </w:r>
            <w:r>
              <w:rPr>
                <w:rFonts w:hint="eastAsia"/>
              </w:rPr>
              <w:t>在开标现场从0、1、2、3、4、5、6、7、8、9等1</w:t>
            </w:r>
            <w:r>
              <w:t>0</w:t>
            </w:r>
            <w:r>
              <w:rPr>
                <w:rFonts w:hint="eastAsia"/>
              </w:rPr>
              <w:t>个系数中随机抽取。各标段的</w:t>
            </w:r>
            <w:r>
              <w:t>K2</w:t>
            </w:r>
            <w:r>
              <w:rPr>
                <w:rFonts w:hint="eastAsia"/>
              </w:rPr>
              <w:t>在开标现场从</w:t>
            </w:r>
            <w:r>
              <w:t>0、0.5、1等3个系数</w:t>
            </w:r>
            <w:r>
              <w:rPr>
                <w:rFonts w:hint="eastAsia"/>
              </w:rPr>
              <w:t>中随机抽取。</w:t>
            </w:r>
          </w:p>
          <w:p w14:paraId="2F454D67">
            <w:pPr>
              <w:wordWrap w:val="0"/>
              <w:ind w:firstLine="420" w:firstLineChars="200"/>
              <w:rPr>
                <w:szCs w:val="21"/>
              </w:rPr>
            </w:pPr>
            <w:r>
              <w:rPr>
                <w:kern w:val="0"/>
                <w:szCs w:val="21"/>
                <w:lang w:bidi="ar"/>
              </w:rPr>
              <w:t>3</w:t>
            </w:r>
            <w:r>
              <w:rPr>
                <w:rFonts w:hint="eastAsia"/>
                <w:kern w:val="0"/>
                <w:szCs w:val="21"/>
                <w:lang w:bidi="ar"/>
              </w:rPr>
              <w:t>、Z为下浮系数，各标段的Z</w:t>
            </w:r>
            <w:r>
              <w:rPr>
                <w:szCs w:val="21"/>
              </w:rPr>
              <w:t>在开标现场</w:t>
            </w:r>
            <w:r>
              <w:rPr>
                <w:rFonts w:hint="eastAsia"/>
                <w:kern w:val="0"/>
                <w:szCs w:val="21"/>
                <w:lang w:bidi="ar"/>
              </w:rPr>
              <w:t>均从0%、0.</w:t>
            </w:r>
            <w:r>
              <w:rPr>
                <w:kern w:val="0"/>
                <w:szCs w:val="21"/>
                <w:lang w:bidi="ar"/>
              </w:rPr>
              <w:t>1</w:t>
            </w:r>
            <w:r>
              <w:rPr>
                <w:rFonts w:hint="eastAsia"/>
                <w:kern w:val="0"/>
                <w:szCs w:val="21"/>
                <w:lang w:bidi="ar"/>
              </w:rPr>
              <w:t>%、0.</w:t>
            </w:r>
            <w:r>
              <w:rPr>
                <w:kern w:val="0"/>
                <w:szCs w:val="21"/>
                <w:lang w:bidi="ar"/>
              </w:rPr>
              <w:t>2</w:t>
            </w:r>
            <w:r>
              <w:rPr>
                <w:rFonts w:hint="eastAsia"/>
                <w:kern w:val="0"/>
                <w:szCs w:val="21"/>
                <w:lang w:bidi="ar"/>
              </w:rPr>
              <w:t>%、0.</w:t>
            </w:r>
            <w:r>
              <w:rPr>
                <w:kern w:val="0"/>
                <w:szCs w:val="21"/>
                <w:lang w:bidi="ar"/>
              </w:rPr>
              <w:t>3</w:t>
            </w:r>
            <w:r>
              <w:rPr>
                <w:rFonts w:hint="eastAsia"/>
                <w:kern w:val="0"/>
                <w:szCs w:val="21"/>
                <w:lang w:bidi="ar"/>
              </w:rPr>
              <w:t>%、0.</w:t>
            </w:r>
            <w:r>
              <w:rPr>
                <w:kern w:val="0"/>
                <w:szCs w:val="21"/>
                <w:lang w:bidi="ar"/>
              </w:rPr>
              <w:t>4</w:t>
            </w:r>
            <w:r>
              <w:rPr>
                <w:rFonts w:hint="eastAsia"/>
                <w:kern w:val="0"/>
                <w:szCs w:val="21"/>
                <w:lang w:bidi="ar"/>
              </w:rPr>
              <w:t>%、</w:t>
            </w:r>
            <w:r>
              <w:rPr>
                <w:kern w:val="0"/>
                <w:szCs w:val="21"/>
                <w:lang w:bidi="ar"/>
              </w:rPr>
              <w:t>0.5</w:t>
            </w:r>
            <w:r>
              <w:rPr>
                <w:rFonts w:hint="eastAsia"/>
                <w:kern w:val="0"/>
                <w:szCs w:val="21"/>
                <w:lang w:bidi="ar"/>
              </w:rPr>
              <w:t>%、</w:t>
            </w:r>
            <w:r>
              <w:rPr>
                <w:kern w:val="0"/>
                <w:szCs w:val="21"/>
                <w:lang w:bidi="ar"/>
              </w:rPr>
              <w:t>0.6</w:t>
            </w:r>
            <w:r>
              <w:rPr>
                <w:rFonts w:hint="eastAsia"/>
                <w:kern w:val="0"/>
                <w:szCs w:val="21"/>
                <w:lang w:bidi="ar"/>
              </w:rPr>
              <w:t>%、</w:t>
            </w:r>
            <w:r>
              <w:rPr>
                <w:kern w:val="0"/>
                <w:szCs w:val="21"/>
                <w:lang w:bidi="ar"/>
              </w:rPr>
              <w:t>0.7</w:t>
            </w:r>
            <w:r>
              <w:rPr>
                <w:rFonts w:hint="eastAsia"/>
                <w:kern w:val="0"/>
                <w:szCs w:val="21"/>
                <w:lang w:bidi="ar"/>
              </w:rPr>
              <w:t>%、</w:t>
            </w:r>
            <w:r>
              <w:rPr>
                <w:kern w:val="0"/>
                <w:szCs w:val="21"/>
                <w:lang w:bidi="ar"/>
              </w:rPr>
              <w:t>0.8</w:t>
            </w:r>
            <w:r>
              <w:rPr>
                <w:rFonts w:hint="eastAsia"/>
                <w:kern w:val="0"/>
                <w:szCs w:val="21"/>
                <w:lang w:bidi="ar"/>
              </w:rPr>
              <w:t>%、</w:t>
            </w:r>
            <w:r>
              <w:rPr>
                <w:kern w:val="0"/>
                <w:szCs w:val="21"/>
                <w:lang w:bidi="ar"/>
              </w:rPr>
              <w:t>0.9</w:t>
            </w:r>
            <w:r>
              <w:rPr>
                <w:rFonts w:hint="eastAsia"/>
                <w:kern w:val="0"/>
                <w:szCs w:val="21"/>
                <w:lang w:bidi="ar"/>
              </w:rPr>
              <w:t>%、</w:t>
            </w:r>
            <w:r>
              <w:rPr>
                <w:kern w:val="0"/>
                <w:szCs w:val="21"/>
                <w:lang w:bidi="ar"/>
              </w:rPr>
              <w:t>1.0</w:t>
            </w:r>
            <w:r>
              <w:rPr>
                <w:rFonts w:hint="eastAsia"/>
                <w:kern w:val="0"/>
                <w:szCs w:val="21"/>
                <w:lang w:bidi="ar"/>
              </w:rPr>
              <w:t>%、</w:t>
            </w:r>
            <w:r>
              <w:rPr>
                <w:kern w:val="0"/>
                <w:szCs w:val="21"/>
                <w:lang w:bidi="ar"/>
              </w:rPr>
              <w:t>1.1</w:t>
            </w:r>
            <w:r>
              <w:rPr>
                <w:rFonts w:hint="eastAsia"/>
                <w:kern w:val="0"/>
                <w:szCs w:val="21"/>
                <w:lang w:bidi="ar"/>
              </w:rPr>
              <w:t>%、</w:t>
            </w:r>
            <w:r>
              <w:rPr>
                <w:kern w:val="0"/>
                <w:szCs w:val="21"/>
                <w:lang w:bidi="ar"/>
              </w:rPr>
              <w:t>1.2</w:t>
            </w:r>
            <w:r>
              <w:rPr>
                <w:rFonts w:hint="eastAsia"/>
                <w:kern w:val="0"/>
                <w:szCs w:val="21"/>
                <w:lang w:bidi="ar"/>
              </w:rPr>
              <w:t>%、</w:t>
            </w:r>
            <w:r>
              <w:rPr>
                <w:kern w:val="0"/>
                <w:szCs w:val="21"/>
                <w:lang w:bidi="ar"/>
              </w:rPr>
              <w:t>1.3</w:t>
            </w:r>
            <w:r>
              <w:rPr>
                <w:rFonts w:hint="eastAsia"/>
                <w:kern w:val="0"/>
                <w:szCs w:val="21"/>
                <w:lang w:bidi="ar"/>
              </w:rPr>
              <w:t>%、</w:t>
            </w:r>
            <w:r>
              <w:rPr>
                <w:kern w:val="0"/>
                <w:szCs w:val="21"/>
                <w:lang w:bidi="ar"/>
              </w:rPr>
              <w:t>1.4</w:t>
            </w:r>
            <w:r>
              <w:rPr>
                <w:rFonts w:hint="eastAsia"/>
                <w:kern w:val="0"/>
                <w:szCs w:val="21"/>
                <w:lang w:bidi="ar"/>
              </w:rPr>
              <w:t>%、1</w:t>
            </w:r>
            <w:r>
              <w:rPr>
                <w:kern w:val="0"/>
                <w:szCs w:val="21"/>
                <w:lang w:bidi="ar"/>
              </w:rPr>
              <w:t>.5</w:t>
            </w:r>
            <w:r>
              <w:rPr>
                <w:rFonts w:hint="eastAsia"/>
                <w:kern w:val="0"/>
                <w:szCs w:val="21"/>
                <w:lang w:bidi="ar"/>
              </w:rPr>
              <w:t>%、</w:t>
            </w:r>
            <w:r>
              <w:rPr>
                <w:kern w:val="0"/>
                <w:szCs w:val="21"/>
                <w:lang w:bidi="ar"/>
              </w:rPr>
              <w:t>1</w:t>
            </w:r>
            <w:r>
              <w:rPr>
                <w:rFonts w:hint="eastAsia"/>
                <w:kern w:val="0"/>
                <w:szCs w:val="21"/>
                <w:lang w:bidi="ar"/>
              </w:rPr>
              <w:t>.</w:t>
            </w:r>
            <w:r>
              <w:rPr>
                <w:kern w:val="0"/>
                <w:szCs w:val="21"/>
                <w:lang w:bidi="ar"/>
              </w:rPr>
              <w:t>6</w:t>
            </w:r>
            <w:r>
              <w:rPr>
                <w:rFonts w:hint="eastAsia"/>
                <w:kern w:val="0"/>
                <w:szCs w:val="21"/>
                <w:lang w:bidi="ar"/>
              </w:rPr>
              <w:t>%、</w:t>
            </w:r>
            <w:r>
              <w:rPr>
                <w:kern w:val="0"/>
                <w:szCs w:val="21"/>
                <w:lang w:bidi="ar"/>
              </w:rPr>
              <w:t>1</w:t>
            </w:r>
            <w:r>
              <w:rPr>
                <w:rFonts w:hint="eastAsia"/>
                <w:kern w:val="0"/>
                <w:szCs w:val="21"/>
                <w:lang w:bidi="ar"/>
              </w:rPr>
              <w:t>.</w:t>
            </w:r>
            <w:r>
              <w:rPr>
                <w:kern w:val="0"/>
                <w:szCs w:val="21"/>
                <w:lang w:bidi="ar"/>
              </w:rPr>
              <w:t>7</w:t>
            </w:r>
            <w:r>
              <w:rPr>
                <w:rFonts w:hint="eastAsia"/>
                <w:kern w:val="0"/>
                <w:szCs w:val="21"/>
                <w:lang w:bidi="ar"/>
              </w:rPr>
              <w:t>%、</w:t>
            </w:r>
            <w:r>
              <w:rPr>
                <w:kern w:val="0"/>
                <w:szCs w:val="21"/>
                <w:lang w:bidi="ar"/>
              </w:rPr>
              <w:t>1</w:t>
            </w:r>
            <w:r>
              <w:rPr>
                <w:rFonts w:hint="eastAsia"/>
                <w:kern w:val="0"/>
                <w:szCs w:val="21"/>
                <w:lang w:bidi="ar"/>
              </w:rPr>
              <w:t>.</w:t>
            </w:r>
            <w:r>
              <w:rPr>
                <w:kern w:val="0"/>
                <w:szCs w:val="21"/>
                <w:lang w:bidi="ar"/>
              </w:rPr>
              <w:t>8</w:t>
            </w:r>
            <w:r>
              <w:rPr>
                <w:rFonts w:hint="eastAsia"/>
                <w:kern w:val="0"/>
                <w:szCs w:val="21"/>
                <w:lang w:bidi="ar"/>
              </w:rPr>
              <w:t>%、</w:t>
            </w:r>
            <w:r>
              <w:rPr>
                <w:kern w:val="0"/>
                <w:szCs w:val="21"/>
                <w:lang w:bidi="ar"/>
              </w:rPr>
              <w:t>1</w:t>
            </w:r>
            <w:r>
              <w:rPr>
                <w:rFonts w:hint="eastAsia"/>
                <w:kern w:val="0"/>
                <w:szCs w:val="21"/>
                <w:lang w:bidi="ar"/>
              </w:rPr>
              <w:t>.</w:t>
            </w:r>
            <w:r>
              <w:rPr>
                <w:kern w:val="0"/>
                <w:szCs w:val="21"/>
                <w:lang w:bidi="ar"/>
              </w:rPr>
              <w:t>9</w:t>
            </w:r>
            <w:r>
              <w:rPr>
                <w:rFonts w:hint="eastAsia"/>
                <w:kern w:val="0"/>
                <w:szCs w:val="21"/>
                <w:lang w:bidi="ar"/>
              </w:rPr>
              <w:t>%、</w:t>
            </w:r>
            <w:r>
              <w:rPr>
                <w:kern w:val="0"/>
                <w:szCs w:val="21"/>
                <w:lang w:bidi="ar"/>
              </w:rPr>
              <w:t>2</w:t>
            </w:r>
            <w:r>
              <w:rPr>
                <w:rFonts w:hint="eastAsia"/>
                <w:kern w:val="0"/>
                <w:szCs w:val="21"/>
                <w:lang w:bidi="ar"/>
              </w:rPr>
              <w:t>%等</w:t>
            </w:r>
            <w:r>
              <w:rPr>
                <w:kern w:val="0"/>
                <w:szCs w:val="21"/>
                <w:lang w:bidi="ar"/>
              </w:rPr>
              <w:t>21</w:t>
            </w:r>
            <w:r>
              <w:rPr>
                <w:rFonts w:hint="eastAsia"/>
                <w:kern w:val="0"/>
                <w:szCs w:val="21"/>
                <w:lang w:bidi="ar"/>
              </w:rPr>
              <w:t>个系数中随机抽取。</w:t>
            </w:r>
          </w:p>
        </w:tc>
      </w:tr>
      <w:tr w14:paraId="036750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89" w:type="dxa"/>
            <w:tcBorders>
              <w:top w:val="single" w:color="auto" w:sz="4" w:space="0"/>
              <w:right w:val="single" w:color="auto" w:sz="4" w:space="0"/>
            </w:tcBorders>
            <w:vAlign w:val="center"/>
          </w:tcPr>
          <w:p w14:paraId="6005C033">
            <w:pPr>
              <w:wordWrap w:val="0"/>
              <w:spacing w:line="380" w:lineRule="atLeast"/>
              <w:jc w:val="center"/>
              <w:rPr>
                <w:szCs w:val="21"/>
              </w:rPr>
            </w:pPr>
            <w:r>
              <w:rPr>
                <w:rFonts w:hint="eastAsia"/>
                <w:szCs w:val="21"/>
              </w:rPr>
              <w:t>2.2.5</w:t>
            </w:r>
          </w:p>
        </w:tc>
        <w:tc>
          <w:tcPr>
            <w:tcW w:w="1583" w:type="dxa"/>
            <w:tcBorders>
              <w:top w:val="single" w:color="auto" w:sz="4" w:space="0"/>
              <w:right w:val="single" w:color="auto" w:sz="4" w:space="0"/>
            </w:tcBorders>
            <w:vAlign w:val="center"/>
          </w:tcPr>
          <w:p w14:paraId="57AB5AB0">
            <w:pPr>
              <w:wordWrap w:val="0"/>
              <w:spacing w:line="380" w:lineRule="atLeast"/>
              <w:jc w:val="center"/>
              <w:rPr>
                <w:szCs w:val="21"/>
              </w:rPr>
            </w:pPr>
            <w:r>
              <w:rPr>
                <w:szCs w:val="21"/>
              </w:rPr>
              <w:t>评标价的偏差率计算公式</w:t>
            </w:r>
          </w:p>
        </w:tc>
        <w:tc>
          <w:tcPr>
            <w:tcW w:w="6319" w:type="dxa"/>
            <w:tcBorders>
              <w:top w:val="single" w:color="auto" w:sz="4" w:space="0"/>
              <w:left w:val="single" w:color="auto" w:sz="4" w:space="0"/>
              <w:right w:val="single" w:color="auto" w:sz="4" w:space="0"/>
            </w:tcBorders>
            <w:vAlign w:val="center"/>
          </w:tcPr>
          <w:p w14:paraId="63C2FCEF">
            <w:pPr>
              <w:spacing w:line="360" w:lineRule="atLeast"/>
              <w:ind w:firstLine="420" w:firstLineChars="200"/>
              <w:rPr>
                <w:szCs w:val="21"/>
              </w:rPr>
            </w:pPr>
            <w:r>
              <w:rPr>
                <w:szCs w:val="21"/>
              </w:rPr>
              <w:t>偏差率=100%×（投标人评标价－评标基准价）/评标基准价</w:t>
            </w:r>
          </w:p>
          <w:p w14:paraId="4A6E4559">
            <w:pPr>
              <w:wordWrap w:val="0"/>
              <w:ind w:firstLine="420" w:firstLineChars="200"/>
              <w:rPr>
                <w:szCs w:val="21"/>
              </w:rPr>
            </w:pPr>
            <w:r>
              <w:rPr>
                <w:szCs w:val="21"/>
              </w:rPr>
              <w:t>偏差率保留</w:t>
            </w:r>
            <w:r>
              <w:rPr>
                <w:rFonts w:hint="eastAsia"/>
                <w:szCs w:val="21"/>
                <w:u w:val="single"/>
              </w:rPr>
              <w:t>7</w:t>
            </w:r>
            <w:r>
              <w:rPr>
                <w:szCs w:val="21"/>
              </w:rPr>
              <w:t>位小数</w:t>
            </w:r>
            <w:r>
              <w:rPr>
                <w:rFonts w:hint="eastAsia"/>
                <w:szCs w:val="21"/>
              </w:rPr>
              <w:t>。</w:t>
            </w:r>
          </w:p>
        </w:tc>
      </w:tr>
      <w:tr w14:paraId="17387C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89" w:type="dxa"/>
            <w:tcBorders>
              <w:top w:val="single" w:color="auto" w:sz="4" w:space="0"/>
              <w:right w:val="single" w:color="auto" w:sz="4" w:space="0"/>
            </w:tcBorders>
            <w:vAlign w:val="center"/>
          </w:tcPr>
          <w:p w14:paraId="2D780CEC">
            <w:pPr>
              <w:wordWrap w:val="0"/>
              <w:spacing w:line="380" w:lineRule="atLeast"/>
              <w:jc w:val="center"/>
              <w:rPr>
                <w:szCs w:val="21"/>
              </w:rPr>
            </w:pPr>
            <w:r>
              <w:rPr>
                <w:szCs w:val="21"/>
              </w:rPr>
              <w:t>3.2.4</w:t>
            </w:r>
          </w:p>
        </w:tc>
        <w:tc>
          <w:tcPr>
            <w:tcW w:w="1583" w:type="dxa"/>
            <w:tcBorders>
              <w:top w:val="single" w:color="auto" w:sz="4" w:space="0"/>
              <w:right w:val="single" w:color="auto" w:sz="4" w:space="0"/>
            </w:tcBorders>
            <w:vAlign w:val="center"/>
          </w:tcPr>
          <w:p w14:paraId="719484A9">
            <w:pPr>
              <w:wordWrap w:val="0"/>
              <w:spacing w:line="380" w:lineRule="atLeast"/>
              <w:jc w:val="center"/>
              <w:rPr>
                <w:szCs w:val="21"/>
              </w:rPr>
            </w:pPr>
            <w:r>
              <w:rPr>
                <w:szCs w:val="21"/>
              </w:rPr>
              <w:t>通过第一个信封详细评审的投标人数量</w:t>
            </w:r>
          </w:p>
        </w:tc>
        <w:tc>
          <w:tcPr>
            <w:tcW w:w="6319" w:type="dxa"/>
            <w:tcBorders>
              <w:top w:val="single" w:color="auto" w:sz="4" w:space="0"/>
              <w:left w:val="single" w:color="auto" w:sz="4" w:space="0"/>
              <w:right w:val="single" w:color="auto" w:sz="4" w:space="0"/>
            </w:tcBorders>
            <w:vAlign w:val="center"/>
          </w:tcPr>
          <w:p w14:paraId="69B239CF">
            <w:pPr>
              <w:spacing w:line="360" w:lineRule="atLeast"/>
              <w:ind w:firstLine="420" w:firstLineChars="200"/>
              <w:rPr>
                <w:szCs w:val="21"/>
              </w:rPr>
            </w:pPr>
            <w:r>
              <w:rPr>
                <w:szCs w:val="21"/>
              </w:rPr>
              <w:t>按照商务和技术</w:t>
            </w:r>
            <w:r>
              <w:rPr>
                <w:rFonts w:hint="eastAsia"/>
                <w:szCs w:val="21"/>
              </w:rPr>
              <w:t>得分</w:t>
            </w:r>
            <w:r>
              <w:rPr>
                <w:szCs w:val="21"/>
              </w:rPr>
              <w:t>由高到低排序，对排名在n以内的投标人的报价文件进行评审，n值按参与商务和技术评分投标人数量的30%</w:t>
            </w:r>
            <w:r>
              <w:rPr>
                <w:rFonts w:hint="eastAsia"/>
                <w:szCs w:val="21"/>
              </w:rPr>
              <w:t>（</w:t>
            </w:r>
            <w:r>
              <w:rPr>
                <w:szCs w:val="21"/>
              </w:rPr>
              <w:t>数值向下取整</w:t>
            </w:r>
            <w:r>
              <w:rPr>
                <w:rFonts w:hint="eastAsia"/>
                <w:szCs w:val="21"/>
              </w:rPr>
              <w:t>）</w:t>
            </w:r>
            <w:r>
              <w:rPr>
                <w:szCs w:val="21"/>
              </w:rPr>
              <w:t>确定，n值不得小于3，不得大于10</w:t>
            </w:r>
            <w:r>
              <w:rPr>
                <w:rFonts w:hint="eastAsia"/>
                <w:szCs w:val="21"/>
              </w:rPr>
              <w:t>。</w:t>
            </w:r>
          </w:p>
          <w:p w14:paraId="7560A21F">
            <w:pPr>
              <w:wordWrap w:val="0"/>
              <w:spacing w:line="360" w:lineRule="atLeast"/>
              <w:ind w:firstLine="420" w:firstLineChars="200"/>
              <w:rPr>
                <w:szCs w:val="21"/>
              </w:rPr>
            </w:pPr>
            <w:r>
              <w:rPr>
                <w:rFonts w:hint="eastAsia"/>
                <w:szCs w:val="21"/>
              </w:rPr>
              <w:t>注：若商务和技术得分相同，排名并列为n时，则同时进入第二信封。</w:t>
            </w:r>
          </w:p>
        </w:tc>
      </w:tr>
    </w:tbl>
    <w:p w14:paraId="6D1FEE51"/>
    <w:tbl>
      <w:tblPr>
        <w:tblStyle w:val="9"/>
        <w:tblW w:w="88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2"/>
        <w:gridCol w:w="453"/>
        <w:gridCol w:w="918"/>
        <w:gridCol w:w="992"/>
        <w:gridCol w:w="1674"/>
        <w:gridCol w:w="743"/>
        <w:gridCol w:w="2699"/>
      </w:tblGrid>
      <w:tr w14:paraId="4EFFD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192" w:type="dxa"/>
            <w:gridSpan w:val="6"/>
            <w:tcBorders>
              <w:top w:val="single" w:color="auto" w:sz="4" w:space="0"/>
            </w:tcBorders>
          </w:tcPr>
          <w:p w14:paraId="7D0695A7">
            <w:pPr>
              <w:wordWrap w:val="0"/>
              <w:jc w:val="center"/>
              <w:rPr>
                <w:b/>
                <w:szCs w:val="21"/>
              </w:rPr>
            </w:pPr>
            <w:r>
              <w:rPr>
                <w:b/>
                <w:szCs w:val="21"/>
              </w:rPr>
              <w:t>评分因素与权重分值</w:t>
            </w:r>
          </w:p>
        </w:tc>
        <w:tc>
          <w:tcPr>
            <w:tcW w:w="2699" w:type="dxa"/>
            <w:vMerge w:val="restart"/>
            <w:tcBorders>
              <w:top w:val="single" w:color="auto" w:sz="4" w:space="0"/>
            </w:tcBorders>
            <w:vAlign w:val="center"/>
          </w:tcPr>
          <w:p w14:paraId="00A82E2B">
            <w:pPr>
              <w:wordWrap w:val="0"/>
              <w:jc w:val="center"/>
              <w:rPr>
                <w:b/>
                <w:szCs w:val="21"/>
              </w:rPr>
            </w:pPr>
            <w:r>
              <w:rPr>
                <w:b/>
                <w:szCs w:val="21"/>
              </w:rPr>
              <w:t>评分标准</w:t>
            </w:r>
          </w:p>
        </w:tc>
      </w:tr>
      <w:tr w14:paraId="25A01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412" w:type="dxa"/>
            <w:vAlign w:val="center"/>
          </w:tcPr>
          <w:p w14:paraId="48CA1CA7">
            <w:pPr>
              <w:wordWrap w:val="0"/>
              <w:jc w:val="center"/>
              <w:rPr>
                <w:b/>
                <w:szCs w:val="21"/>
              </w:rPr>
            </w:pPr>
            <w:r>
              <w:rPr>
                <w:b/>
                <w:szCs w:val="21"/>
              </w:rPr>
              <w:t>条款号</w:t>
            </w:r>
          </w:p>
        </w:tc>
        <w:tc>
          <w:tcPr>
            <w:tcW w:w="1371" w:type="dxa"/>
            <w:gridSpan w:val="2"/>
            <w:vAlign w:val="center"/>
          </w:tcPr>
          <w:p w14:paraId="0CBA0159">
            <w:pPr>
              <w:wordWrap w:val="0"/>
              <w:jc w:val="center"/>
              <w:rPr>
                <w:b/>
                <w:szCs w:val="21"/>
              </w:rPr>
            </w:pPr>
            <w:r>
              <w:rPr>
                <w:b/>
                <w:szCs w:val="21"/>
              </w:rPr>
              <w:t>评分因素</w:t>
            </w:r>
          </w:p>
        </w:tc>
        <w:tc>
          <w:tcPr>
            <w:tcW w:w="992" w:type="dxa"/>
            <w:vAlign w:val="center"/>
          </w:tcPr>
          <w:p w14:paraId="56D25C2B">
            <w:pPr>
              <w:wordWrap w:val="0"/>
              <w:ind w:left="-105" w:leftChars="-50" w:right="-105" w:rightChars="-50"/>
              <w:jc w:val="center"/>
              <w:rPr>
                <w:b/>
                <w:szCs w:val="21"/>
              </w:rPr>
            </w:pPr>
            <w:r>
              <w:rPr>
                <w:b/>
                <w:szCs w:val="21"/>
              </w:rPr>
              <w:t>评分因素权重分值</w:t>
            </w:r>
          </w:p>
        </w:tc>
        <w:tc>
          <w:tcPr>
            <w:tcW w:w="1674" w:type="dxa"/>
            <w:vAlign w:val="center"/>
          </w:tcPr>
          <w:p w14:paraId="5F26B73C">
            <w:pPr>
              <w:wordWrap w:val="0"/>
              <w:jc w:val="center"/>
              <w:rPr>
                <w:b/>
                <w:szCs w:val="21"/>
              </w:rPr>
            </w:pPr>
            <w:r>
              <w:rPr>
                <w:b/>
                <w:szCs w:val="21"/>
              </w:rPr>
              <w:t>各评分因素细分项</w:t>
            </w:r>
          </w:p>
        </w:tc>
        <w:tc>
          <w:tcPr>
            <w:tcW w:w="743" w:type="dxa"/>
            <w:vAlign w:val="center"/>
          </w:tcPr>
          <w:p w14:paraId="6B505BED">
            <w:pPr>
              <w:jc w:val="center"/>
              <w:rPr>
                <w:b/>
                <w:szCs w:val="21"/>
              </w:rPr>
            </w:pPr>
            <w:r>
              <w:rPr>
                <w:b/>
                <w:szCs w:val="21"/>
              </w:rPr>
              <w:t>分值</w:t>
            </w:r>
          </w:p>
        </w:tc>
        <w:tc>
          <w:tcPr>
            <w:tcW w:w="2699" w:type="dxa"/>
            <w:vMerge w:val="continue"/>
          </w:tcPr>
          <w:p w14:paraId="04E378DB">
            <w:pPr>
              <w:wordWrap w:val="0"/>
              <w:jc w:val="center"/>
              <w:rPr>
                <w:b/>
                <w:szCs w:val="21"/>
              </w:rPr>
            </w:pPr>
          </w:p>
        </w:tc>
      </w:tr>
      <w:tr w14:paraId="6266D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2" w:type="dxa"/>
            <w:vMerge w:val="restart"/>
            <w:vAlign w:val="center"/>
          </w:tcPr>
          <w:p w14:paraId="08A3C9AC">
            <w:pPr>
              <w:wordWrap w:val="0"/>
              <w:jc w:val="center"/>
              <w:rPr>
                <w:szCs w:val="21"/>
              </w:rPr>
            </w:pPr>
            <w:r>
              <w:rPr>
                <w:szCs w:val="21"/>
              </w:rPr>
              <w:t>2.2.2（1）</w:t>
            </w:r>
          </w:p>
        </w:tc>
        <w:tc>
          <w:tcPr>
            <w:tcW w:w="1371" w:type="dxa"/>
            <w:gridSpan w:val="2"/>
            <w:vMerge w:val="restart"/>
            <w:vAlign w:val="center"/>
          </w:tcPr>
          <w:p w14:paraId="0E7C8050">
            <w:pPr>
              <w:wordWrap w:val="0"/>
              <w:jc w:val="center"/>
              <w:rPr>
                <w:szCs w:val="21"/>
              </w:rPr>
            </w:pPr>
            <w:r>
              <w:rPr>
                <w:szCs w:val="21"/>
              </w:rPr>
              <w:t>施工组织设计</w:t>
            </w:r>
          </w:p>
        </w:tc>
        <w:tc>
          <w:tcPr>
            <w:tcW w:w="992" w:type="dxa"/>
            <w:vMerge w:val="restart"/>
            <w:vAlign w:val="center"/>
          </w:tcPr>
          <w:p w14:paraId="595332B6">
            <w:pPr>
              <w:wordWrap w:val="0"/>
              <w:jc w:val="right"/>
              <w:rPr>
                <w:szCs w:val="21"/>
                <w:u w:val="single"/>
              </w:rPr>
            </w:pPr>
            <w:r>
              <w:rPr>
                <w:rFonts w:hint="eastAsia"/>
                <w:szCs w:val="21"/>
                <w:u w:val="single"/>
              </w:rPr>
              <w:t>35</w:t>
            </w:r>
            <w:r>
              <w:rPr>
                <w:szCs w:val="21"/>
              </w:rPr>
              <w:t>分</w:t>
            </w:r>
          </w:p>
        </w:tc>
        <w:tc>
          <w:tcPr>
            <w:tcW w:w="1674" w:type="dxa"/>
            <w:vAlign w:val="center"/>
          </w:tcPr>
          <w:p w14:paraId="67CD4C0D">
            <w:pPr>
              <w:pStyle w:val="14"/>
              <w:jc w:val="center"/>
              <w:rPr>
                <w:sz w:val="21"/>
                <w:szCs w:val="21"/>
              </w:rPr>
            </w:pPr>
            <w:r>
              <w:rPr>
                <w:rFonts w:hint="eastAsia" w:ascii="宋体" w:hAnsi="宋体"/>
                <w:sz w:val="21"/>
                <w:szCs w:val="21"/>
              </w:rPr>
              <w:t>总体施工组织布置及规划（应包含交通组织及调流方案）（5分）</w:t>
            </w:r>
          </w:p>
        </w:tc>
        <w:tc>
          <w:tcPr>
            <w:tcW w:w="743" w:type="dxa"/>
            <w:vAlign w:val="center"/>
          </w:tcPr>
          <w:p w14:paraId="49EB8A0E">
            <w:pPr>
              <w:pStyle w:val="14"/>
              <w:jc w:val="center"/>
              <w:rPr>
                <w:sz w:val="21"/>
                <w:szCs w:val="21"/>
              </w:rPr>
            </w:pPr>
            <w:r>
              <w:rPr>
                <w:rFonts w:hint="eastAsia" w:ascii="宋体" w:hAnsi="宋体"/>
                <w:sz w:val="21"/>
                <w:szCs w:val="21"/>
              </w:rPr>
              <w:t>3～5分</w:t>
            </w:r>
          </w:p>
        </w:tc>
        <w:tc>
          <w:tcPr>
            <w:tcW w:w="2699" w:type="dxa"/>
            <w:vAlign w:val="center"/>
          </w:tcPr>
          <w:p w14:paraId="4ED269D7">
            <w:pPr>
              <w:rPr>
                <w:rFonts w:ascii="宋体" w:hAnsi="宋体"/>
                <w:szCs w:val="21"/>
              </w:rPr>
            </w:pPr>
            <w:r>
              <w:rPr>
                <w:rFonts w:hint="eastAsia" w:ascii="宋体" w:hAnsi="宋体"/>
                <w:szCs w:val="21"/>
              </w:rPr>
              <w:t>针对本项目的总体施工组织、施工计划、（应包含交通组织及调流方案）实施方案等保证措施优劣程度。</w:t>
            </w:r>
          </w:p>
          <w:p w14:paraId="79334EEB">
            <w:pPr>
              <w:rPr>
                <w:rFonts w:ascii="宋体" w:hAnsi="宋体" w:cs="宋体"/>
                <w:bCs/>
                <w:szCs w:val="21"/>
              </w:rPr>
            </w:pPr>
            <w:r>
              <w:rPr>
                <w:rFonts w:hint="eastAsia" w:ascii="宋体" w:hAnsi="宋体" w:cs="宋体"/>
                <w:bCs/>
                <w:szCs w:val="21"/>
              </w:rPr>
              <w:t>优秀得</w:t>
            </w:r>
            <w:r>
              <w:rPr>
                <w:rFonts w:ascii="宋体" w:hAnsi="宋体" w:cs="宋体"/>
                <w:bCs/>
                <w:szCs w:val="21"/>
              </w:rPr>
              <w:t>5</w:t>
            </w:r>
            <w:r>
              <w:rPr>
                <w:rFonts w:hint="eastAsia" w:ascii="宋体" w:hAnsi="宋体" w:cs="宋体"/>
                <w:bCs/>
                <w:szCs w:val="21"/>
              </w:rPr>
              <w:t>-</w:t>
            </w:r>
            <w:r>
              <w:rPr>
                <w:rFonts w:ascii="宋体" w:hAnsi="宋体" w:cs="宋体"/>
                <w:bCs/>
                <w:szCs w:val="21"/>
              </w:rPr>
              <w:t>4.5</w:t>
            </w:r>
            <w:r>
              <w:rPr>
                <w:rFonts w:hint="eastAsia" w:ascii="宋体" w:hAnsi="宋体" w:cs="宋体"/>
                <w:bCs/>
                <w:szCs w:val="21"/>
              </w:rPr>
              <w:t>分；</w:t>
            </w:r>
          </w:p>
          <w:p w14:paraId="40678A34">
            <w:pPr>
              <w:rPr>
                <w:rFonts w:ascii="宋体" w:hAnsi="宋体" w:cs="宋体"/>
                <w:bCs/>
                <w:szCs w:val="21"/>
              </w:rPr>
            </w:pPr>
            <w:r>
              <w:rPr>
                <w:rFonts w:hint="eastAsia" w:ascii="宋体" w:hAnsi="宋体" w:cs="宋体"/>
                <w:bCs/>
                <w:szCs w:val="21"/>
              </w:rPr>
              <w:t>良好得</w:t>
            </w:r>
            <w:r>
              <w:rPr>
                <w:rFonts w:ascii="宋体" w:hAnsi="宋体" w:cs="宋体"/>
                <w:bCs/>
                <w:szCs w:val="21"/>
              </w:rPr>
              <w:t>4.5</w:t>
            </w:r>
            <w:r>
              <w:rPr>
                <w:rFonts w:hint="eastAsia" w:ascii="宋体" w:hAnsi="宋体" w:cs="宋体"/>
                <w:bCs/>
                <w:szCs w:val="21"/>
              </w:rPr>
              <w:t>-</w:t>
            </w:r>
            <w:r>
              <w:rPr>
                <w:rFonts w:ascii="宋体" w:hAnsi="宋体" w:cs="宋体"/>
                <w:bCs/>
                <w:szCs w:val="21"/>
              </w:rPr>
              <w:t>4</w:t>
            </w:r>
            <w:r>
              <w:rPr>
                <w:rFonts w:hint="eastAsia" w:ascii="宋体" w:hAnsi="宋体" w:cs="宋体"/>
                <w:bCs/>
                <w:szCs w:val="21"/>
              </w:rPr>
              <w:t>分；</w:t>
            </w:r>
          </w:p>
          <w:p w14:paraId="5F2DB80B">
            <w:pPr>
              <w:rPr>
                <w:rFonts w:ascii="宋体" w:hAnsi="宋体" w:cs="宋体"/>
                <w:bCs/>
                <w:szCs w:val="21"/>
              </w:rPr>
            </w:pPr>
            <w:r>
              <w:rPr>
                <w:rFonts w:hint="eastAsia" w:ascii="宋体" w:hAnsi="宋体" w:cs="宋体"/>
                <w:bCs/>
                <w:szCs w:val="21"/>
              </w:rPr>
              <w:t>一般得</w:t>
            </w:r>
            <w:r>
              <w:rPr>
                <w:rFonts w:ascii="宋体" w:hAnsi="宋体" w:cs="宋体"/>
                <w:bCs/>
                <w:szCs w:val="21"/>
              </w:rPr>
              <w:t>4</w:t>
            </w:r>
            <w:r>
              <w:rPr>
                <w:rFonts w:hint="eastAsia" w:ascii="宋体" w:hAnsi="宋体" w:cs="宋体"/>
                <w:bCs/>
                <w:szCs w:val="21"/>
              </w:rPr>
              <w:t>-</w:t>
            </w:r>
            <w:r>
              <w:rPr>
                <w:rFonts w:ascii="宋体" w:hAnsi="宋体" w:cs="宋体"/>
                <w:bCs/>
                <w:szCs w:val="21"/>
              </w:rPr>
              <w:t>3.5</w:t>
            </w:r>
            <w:r>
              <w:rPr>
                <w:rFonts w:hint="eastAsia" w:ascii="宋体" w:hAnsi="宋体" w:cs="宋体"/>
                <w:bCs/>
                <w:szCs w:val="21"/>
              </w:rPr>
              <w:t>分；</w:t>
            </w:r>
          </w:p>
          <w:p w14:paraId="0C3EDB11">
            <w:pPr>
              <w:pStyle w:val="14"/>
              <w:rPr>
                <w:sz w:val="21"/>
                <w:szCs w:val="21"/>
              </w:rPr>
            </w:pPr>
            <w:r>
              <w:rPr>
                <w:rFonts w:hint="eastAsia" w:ascii="宋体" w:hAnsi="宋体" w:cs="宋体"/>
                <w:bCs/>
                <w:sz w:val="21"/>
                <w:szCs w:val="21"/>
              </w:rPr>
              <w:t>较差得</w:t>
            </w:r>
            <w:r>
              <w:rPr>
                <w:rFonts w:ascii="宋体" w:hAnsi="宋体" w:cs="宋体"/>
                <w:bCs/>
                <w:sz w:val="21"/>
                <w:szCs w:val="21"/>
              </w:rPr>
              <w:t>3.5</w:t>
            </w:r>
            <w:r>
              <w:rPr>
                <w:rFonts w:hint="eastAsia" w:ascii="宋体" w:hAnsi="宋体" w:cs="宋体"/>
                <w:bCs/>
                <w:sz w:val="21"/>
                <w:szCs w:val="21"/>
              </w:rPr>
              <w:t>-</w:t>
            </w:r>
            <w:r>
              <w:rPr>
                <w:rFonts w:ascii="宋体" w:hAnsi="宋体" w:cs="宋体"/>
                <w:bCs/>
                <w:sz w:val="21"/>
                <w:szCs w:val="21"/>
              </w:rPr>
              <w:t>3</w:t>
            </w:r>
            <w:r>
              <w:rPr>
                <w:rFonts w:hint="eastAsia" w:ascii="宋体" w:hAnsi="宋体" w:cs="宋体"/>
                <w:bCs/>
                <w:sz w:val="21"/>
                <w:szCs w:val="21"/>
              </w:rPr>
              <w:t>分。</w:t>
            </w:r>
          </w:p>
        </w:tc>
      </w:tr>
      <w:tr w14:paraId="08483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2" w:type="dxa"/>
            <w:vMerge w:val="continue"/>
            <w:vAlign w:val="center"/>
          </w:tcPr>
          <w:p w14:paraId="1D6EAA34">
            <w:pPr>
              <w:wordWrap w:val="0"/>
              <w:spacing w:line="380" w:lineRule="atLeast"/>
              <w:jc w:val="center"/>
              <w:rPr>
                <w:szCs w:val="21"/>
              </w:rPr>
            </w:pPr>
          </w:p>
        </w:tc>
        <w:tc>
          <w:tcPr>
            <w:tcW w:w="1371" w:type="dxa"/>
            <w:gridSpan w:val="2"/>
            <w:vMerge w:val="continue"/>
            <w:vAlign w:val="center"/>
          </w:tcPr>
          <w:p w14:paraId="3984557F">
            <w:pPr>
              <w:wordWrap w:val="0"/>
              <w:spacing w:line="380" w:lineRule="atLeast"/>
              <w:jc w:val="center"/>
              <w:rPr>
                <w:szCs w:val="21"/>
              </w:rPr>
            </w:pPr>
          </w:p>
        </w:tc>
        <w:tc>
          <w:tcPr>
            <w:tcW w:w="992" w:type="dxa"/>
            <w:vMerge w:val="continue"/>
            <w:vAlign w:val="center"/>
          </w:tcPr>
          <w:p w14:paraId="24D0C35A">
            <w:pPr>
              <w:wordWrap w:val="0"/>
              <w:spacing w:line="380" w:lineRule="atLeast"/>
              <w:jc w:val="right"/>
              <w:rPr>
                <w:szCs w:val="21"/>
                <w:u w:val="single"/>
              </w:rPr>
            </w:pPr>
          </w:p>
        </w:tc>
        <w:tc>
          <w:tcPr>
            <w:tcW w:w="1674" w:type="dxa"/>
            <w:vAlign w:val="center"/>
          </w:tcPr>
          <w:p w14:paraId="77E321D8">
            <w:pPr>
              <w:pStyle w:val="14"/>
              <w:jc w:val="center"/>
              <w:rPr>
                <w:sz w:val="21"/>
                <w:szCs w:val="21"/>
              </w:rPr>
            </w:pPr>
            <w:r>
              <w:rPr>
                <w:rFonts w:hint="eastAsia" w:ascii="宋体" w:hAnsi="宋体"/>
                <w:sz w:val="21"/>
                <w:szCs w:val="21"/>
              </w:rPr>
              <w:t>主要工程项目的施工方案、方法、与技术措施，尤其对重点、关键、难点工程和技术复杂项目施工方案、方法及措施（</w:t>
            </w:r>
            <w:r>
              <w:rPr>
                <w:rFonts w:hint="eastAsia" w:ascii="宋体" w:hAnsi="宋体" w:eastAsiaTheme="minorEastAsia"/>
                <w:sz w:val="21"/>
                <w:szCs w:val="21"/>
              </w:rPr>
              <w:t>5</w:t>
            </w:r>
            <w:r>
              <w:rPr>
                <w:rFonts w:hint="eastAsia" w:ascii="宋体" w:hAnsi="宋体"/>
                <w:sz w:val="21"/>
                <w:szCs w:val="21"/>
              </w:rPr>
              <w:t>分）</w:t>
            </w:r>
          </w:p>
        </w:tc>
        <w:tc>
          <w:tcPr>
            <w:tcW w:w="743" w:type="dxa"/>
            <w:vAlign w:val="center"/>
          </w:tcPr>
          <w:p w14:paraId="5F96469D">
            <w:pPr>
              <w:pStyle w:val="14"/>
              <w:jc w:val="center"/>
              <w:rPr>
                <w:sz w:val="21"/>
                <w:szCs w:val="21"/>
                <w:u w:val="single"/>
              </w:rPr>
            </w:pPr>
            <w:r>
              <w:rPr>
                <w:rFonts w:hint="eastAsia" w:ascii="宋体" w:hAnsi="宋体"/>
                <w:sz w:val="21"/>
                <w:szCs w:val="21"/>
              </w:rPr>
              <w:t>3～5分</w:t>
            </w:r>
          </w:p>
        </w:tc>
        <w:tc>
          <w:tcPr>
            <w:tcW w:w="2699" w:type="dxa"/>
            <w:vAlign w:val="center"/>
          </w:tcPr>
          <w:p w14:paraId="0B506C38">
            <w:pPr>
              <w:rPr>
                <w:rFonts w:ascii="宋体" w:hAnsi="宋体"/>
                <w:szCs w:val="21"/>
              </w:rPr>
            </w:pPr>
            <w:r>
              <w:rPr>
                <w:rFonts w:hint="eastAsia" w:ascii="宋体" w:hAnsi="宋体"/>
                <w:szCs w:val="21"/>
              </w:rPr>
              <w:t>针对本项目的重点、关键、难点工程和技术复杂项目施工方案、方法及技术措施，优劣程度。</w:t>
            </w:r>
          </w:p>
          <w:p w14:paraId="642C84CD">
            <w:pPr>
              <w:rPr>
                <w:rFonts w:ascii="宋体" w:hAnsi="宋体" w:cs="宋体"/>
                <w:bCs/>
                <w:szCs w:val="21"/>
              </w:rPr>
            </w:pPr>
            <w:r>
              <w:rPr>
                <w:rFonts w:hint="eastAsia" w:ascii="宋体" w:hAnsi="宋体" w:cs="宋体"/>
                <w:bCs/>
                <w:szCs w:val="21"/>
              </w:rPr>
              <w:t>优秀得</w:t>
            </w:r>
            <w:r>
              <w:rPr>
                <w:rFonts w:ascii="宋体" w:hAnsi="宋体" w:cs="宋体"/>
                <w:bCs/>
                <w:szCs w:val="21"/>
              </w:rPr>
              <w:t>5</w:t>
            </w:r>
            <w:r>
              <w:rPr>
                <w:rFonts w:hint="eastAsia" w:ascii="宋体" w:hAnsi="宋体" w:cs="宋体"/>
                <w:bCs/>
                <w:szCs w:val="21"/>
              </w:rPr>
              <w:t>-</w:t>
            </w:r>
            <w:r>
              <w:rPr>
                <w:rFonts w:ascii="宋体" w:hAnsi="宋体" w:cs="宋体"/>
                <w:bCs/>
                <w:szCs w:val="21"/>
              </w:rPr>
              <w:t>4.5</w:t>
            </w:r>
            <w:r>
              <w:rPr>
                <w:rFonts w:hint="eastAsia" w:ascii="宋体" w:hAnsi="宋体" w:cs="宋体"/>
                <w:bCs/>
                <w:szCs w:val="21"/>
              </w:rPr>
              <w:t>分；</w:t>
            </w:r>
          </w:p>
          <w:p w14:paraId="1AEF9287">
            <w:pPr>
              <w:rPr>
                <w:rFonts w:ascii="宋体" w:hAnsi="宋体" w:cs="宋体"/>
                <w:bCs/>
                <w:szCs w:val="21"/>
              </w:rPr>
            </w:pPr>
            <w:r>
              <w:rPr>
                <w:rFonts w:hint="eastAsia" w:ascii="宋体" w:hAnsi="宋体" w:cs="宋体"/>
                <w:bCs/>
                <w:szCs w:val="21"/>
              </w:rPr>
              <w:t>良好得</w:t>
            </w:r>
            <w:r>
              <w:rPr>
                <w:rFonts w:ascii="宋体" w:hAnsi="宋体" w:cs="宋体"/>
                <w:bCs/>
                <w:szCs w:val="21"/>
              </w:rPr>
              <w:t>4.5</w:t>
            </w:r>
            <w:r>
              <w:rPr>
                <w:rFonts w:hint="eastAsia" w:ascii="宋体" w:hAnsi="宋体" w:cs="宋体"/>
                <w:bCs/>
                <w:szCs w:val="21"/>
              </w:rPr>
              <w:t>-</w:t>
            </w:r>
            <w:r>
              <w:rPr>
                <w:rFonts w:ascii="宋体" w:hAnsi="宋体" w:cs="宋体"/>
                <w:bCs/>
                <w:szCs w:val="21"/>
              </w:rPr>
              <w:t>4</w:t>
            </w:r>
            <w:r>
              <w:rPr>
                <w:rFonts w:hint="eastAsia" w:ascii="宋体" w:hAnsi="宋体" w:cs="宋体"/>
                <w:bCs/>
                <w:szCs w:val="21"/>
              </w:rPr>
              <w:t>分；</w:t>
            </w:r>
          </w:p>
          <w:p w14:paraId="73D507A7">
            <w:pPr>
              <w:rPr>
                <w:rFonts w:ascii="宋体" w:hAnsi="宋体" w:cs="宋体"/>
                <w:bCs/>
                <w:szCs w:val="21"/>
              </w:rPr>
            </w:pPr>
            <w:r>
              <w:rPr>
                <w:rFonts w:hint="eastAsia" w:ascii="宋体" w:hAnsi="宋体" w:cs="宋体"/>
                <w:bCs/>
                <w:szCs w:val="21"/>
              </w:rPr>
              <w:t>一般得</w:t>
            </w:r>
            <w:r>
              <w:rPr>
                <w:rFonts w:ascii="宋体" w:hAnsi="宋体" w:cs="宋体"/>
                <w:bCs/>
                <w:szCs w:val="21"/>
              </w:rPr>
              <w:t>4</w:t>
            </w:r>
            <w:r>
              <w:rPr>
                <w:rFonts w:hint="eastAsia" w:ascii="宋体" w:hAnsi="宋体" w:cs="宋体"/>
                <w:bCs/>
                <w:szCs w:val="21"/>
              </w:rPr>
              <w:t>-</w:t>
            </w:r>
            <w:r>
              <w:rPr>
                <w:rFonts w:ascii="宋体" w:hAnsi="宋体" w:cs="宋体"/>
                <w:bCs/>
                <w:szCs w:val="21"/>
              </w:rPr>
              <w:t>3.5</w:t>
            </w:r>
            <w:r>
              <w:rPr>
                <w:rFonts w:hint="eastAsia" w:ascii="宋体" w:hAnsi="宋体" w:cs="宋体"/>
                <w:bCs/>
                <w:szCs w:val="21"/>
              </w:rPr>
              <w:t>分；</w:t>
            </w:r>
          </w:p>
          <w:p w14:paraId="1AA00763">
            <w:pPr>
              <w:pStyle w:val="14"/>
              <w:rPr>
                <w:sz w:val="21"/>
                <w:szCs w:val="21"/>
              </w:rPr>
            </w:pPr>
            <w:r>
              <w:rPr>
                <w:rFonts w:hint="eastAsia" w:ascii="宋体" w:hAnsi="宋体" w:cs="宋体"/>
                <w:bCs/>
                <w:sz w:val="21"/>
                <w:szCs w:val="21"/>
              </w:rPr>
              <w:t>较差得</w:t>
            </w:r>
            <w:r>
              <w:rPr>
                <w:rFonts w:ascii="宋体" w:hAnsi="宋体" w:cs="宋体"/>
                <w:bCs/>
                <w:sz w:val="21"/>
                <w:szCs w:val="21"/>
              </w:rPr>
              <w:t>3.5</w:t>
            </w:r>
            <w:r>
              <w:rPr>
                <w:rFonts w:hint="eastAsia" w:ascii="宋体" w:hAnsi="宋体" w:cs="宋体"/>
                <w:bCs/>
                <w:sz w:val="21"/>
                <w:szCs w:val="21"/>
              </w:rPr>
              <w:t>-</w:t>
            </w:r>
            <w:r>
              <w:rPr>
                <w:rFonts w:ascii="宋体" w:hAnsi="宋体" w:cs="宋体"/>
                <w:bCs/>
                <w:sz w:val="21"/>
                <w:szCs w:val="21"/>
              </w:rPr>
              <w:t>3</w:t>
            </w:r>
            <w:r>
              <w:rPr>
                <w:rFonts w:hint="eastAsia" w:ascii="宋体" w:hAnsi="宋体" w:cs="宋体"/>
                <w:bCs/>
                <w:sz w:val="21"/>
                <w:szCs w:val="21"/>
              </w:rPr>
              <w:t>分。</w:t>
            </w:r>
          </w:p>
        </w:tc>
      </w:tr>
      <w:tr w14:paraId="38162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2" w:type="dxa"/>
            <w:vMerge w:val="continue"/>
            <w:vAlign w:val="center"/>
          </w:tcPr>
          <w:p w14:paraId="548393D6">
            <w:pPr>
              <w:wordWrap w:val="0"/>
              <w:spacing w:line="380" w:lineRule="atLeast"/>
              <w:jc w:val="center"/>
              <w:rPr>
                <w:szCs w:val="21"/>
              </w:rPr>
            </w:pPr>
          </w:p>
        </w:tc>
        <w:tc>
          <w:tcPr>
            <w:tcW w:w="1371" w:type="dxa"/>
            <w:gridSpan w:val="2"/>
            <w:vMerge w:val="continue"/>
            <w:vAlign w:val="center"/>
          </w:tcPr>
          <w:p w14:paraId="56CB6144">
            <w:pPr>
              <w:wordWrap w:val="0"/>
              <w:spacing w:line="380" w:lineRule="atLeast"/>
              <w:jc w:val="center"/>
              <w:rPr>
                <w:szCs w:val="21"/>
              </w:rPr>
            </w:pPr>
          </w:p>
        </w:tc>
        <w:tc>
          <w:tcPr>
            <w:tcW w:w="992" w:type="dxa"/>
            <w:vMerge w:val="continue"/>
            <w:vAlign w:val="center"/>
          </w:tcPr>
          <w:p w14:paraId="535F5674">
            <w:pPr>
              <w:wordWrap w:val="0"/>
              <w:spacing w:line="380" w:lineRule="atLeast"/>
              <w:jc w:val="right"/>
              <w:rPr>
                <w:szCs w:val="21"/>
                <w:u w:val="single"/>
              </w:rPr>
            </w:pPr>
          </w:p>
        </w:tc>
        <w:tc>
          <w:tcPr>
            <w:tcW w:w="1674" w:type="dxa"/>
            <w:vAlign w:val="center"/>
          </w:tcPr>
          <w:p w14:paraId="0B847770">
            <w:pPr>
              <w:pStyle w:val="14"/>
              <w:jc w:val="center"/>
              <w:rPr>
                <w:sz w:val="21"/>
                <w:szCs w:val="21"/>
              </w:rPr>
            </w:pPr>
            <w:r>
              <w:rPr>
                <w:rFonts w:hint="eastAsia" w:ascii="宋体" w:hAnsi="宋体"/>
                <w:sz w:val="21"/>
                <w:szCs w:val="21"/>
              </w:rPr>
              <w:t>工期保证体系及保证措施（5分）</w:t>
            </w:r>
          </w:p>
        </w:tc>
        <w:tc>
          <w:tcPr>
            <w:tcW w:w="743" w:type="dxa"/>
            <w:vAlign w:val="center"/>
          </w:tcPr>
          <w:p w14:paraId="73E6A840">
            <w:pPr>
              <w:pStyle w:val="14"/>
              <w:jc w:val="center"/>
              <w:rPr>
                <w:sz w:val="21"/>
                <w:szCs w:val="21"/>
                <w:u w:val="single"/>
              </w:rPr>
            </w:pPr>
            <w:r>
              <w:rPr>
                <w:rFonts w:hint="eastAsia" w:ascii="宋体" w:hAnsi="宋体"/>
                <w:sz w:val="21"/>
                <w:szCs w:val="21"/>
              </w:rPr>
              <w:t>3～5分</w:t>
            </w:r>
          </w:p>
        </w:tc>
        <w:tc>
          <w:tcPr>
            <w:tcW w:w="2699" w:type="dxa"/>
            <w:vAlign w:val="center"/>
          </w:tcPr>
          <w:p w14:paraId="46CBDA90">
            <w:pPr>
              <w:rPr>
                <w:rFonts w:ascii="宋体" w:hAnsi="宋体"/>
                <w:szCs w:val="21"/>
              </w:rPr>
            </w:pPr>
            <w:r>
              <w:rPr>
                <w:rFonts w:hint="eastAsia" w:ascii="宋体" w:hAnsi="宋体"/>
                <w:szCs w:val="21"/>
              </w:rPr>
              <w:t>针对本项目的工期保证体系及保证措施（投标人应提出每个计量期完成的任务目标和资金额）优劣程度。</w:t>
            </w:r>
          </w:p>
          <w:p w14:paraId="158C98F6">
            <w:pPr>
              <w:rPr>
                <w:rFonts w:ascii="宋体" w:hAnsi="宋体" w:cs="宋体"/>
                <w:bCs/>
                <w:szCs w:val="21"/>
              </w:rPr>
            </w:pPr>
            <w:r>
              <w:rPr>
                <w:rFonts w:hint="eastAsia" w:ascii="宋体" w:hAnsi="宋体" w:cs="宋体"/>
                <w:bCs/>
                <w:szCs w:val="21"/>
              </w:rPr>
              <w:t>优秀得</w:t>
            </w:r>
            <w:r>
              <w:rPr>
                <w:rFonts w:ascii="宋体" w:hAnsi="宋体" w:cs="宋体"/>
                <w:bCs/>
                <w:szCs w:val="21"/>
              </w:rPr>
              <w:t>5</w:t>
            </w:r>
            <w:r>
              <w:rPr>
                <w:rFonts w:hint="eastAsia" w:ascii="宋体" w:hAnsi="宋体" w:cs="宋体"/>
                <w:bCs/>
                <w:szCs w:val="21"/>
              </w:rPr>
              <w:t>-</w:t>
            </w:r>
            <w:r>
              <w:rPr>
                <w:rFonts w:ascii="宋体" w:hAnsi="宋体" w:cs="宋体"/>
                <w:bCs/>
                <w:szCs w:val="21"/>
              </w:rPr>
              <w:t>4.5</w:t>
            </w:r>
            <w:r>
              <w:rPr>
                <w:rFonts w:hint="eastAsia" w:ascii="宋体" w:hAnsi="宋体" w:cs="宋体"/>
                <w:bCs/>
                <w:szCs w:val="21"/>
              </w:rPr>
              <w:t>分；</w:t>
            </w:r>
          </w:p>
          <w:p w14:paraId="4DD4D641">
            <w:pPr>
              <w:rPr>
                <w:rFonts w:ascii="宋体" w:hAnsi="宋体" w:cs="宋体"/>
                <w:bCs/>
                <w:szCs w:val="21"/>
              </w:rPr>
            </w:pPr>
            <w:r>
              <w:rPr>
                <w:rFonts w:hint="eastAsia" w:ascii="宋体" w:hAnsi="宋体" w:cs="宋体"/>
                <w:bCs/>
                <w:szCs w:val="21"/>
              </w:rPr>
              <w:t>良好得</w:t>
            </w:r>
            <w:r>
              <w:rPr>
                <w:rFonts w:ascii="宋体" w:hAnsi="宋体" w:cs="宋体"/>
                <w:bCs/>
                <w:szCs w:val="21"/>
              </w:rPr>
              <w:t>4.5</w:t>
            </w:r>
            <w:r>
              <w:rPr>
                <w:rFonts w:hint="eastAsia" w:ascii="宋体" w:hAnsi="宋体" w:cs="宋体"/>
                <w:bCs/>
                <w:szCs w:val="21"/>
              </w:rPr>
              <w:t>-</w:t>
            </w:r>
            <w:r>
              <w:rPr>
                <w:rFonts w:ascii="宋体" w:hAnsi="宋体" w:cs="宋体"/>
                <w:bCs/>
                <w:szCs w:val="21"/>
              </w:rPr>
              <w:t>4</w:t>
            </w:r>
            <w:r>
              <w:rPr>
                <w:rFonts w:hint="eastAsia" w:ascii="宋体" w:hAnsi="宋体" w:cs="宋体"/>
                <w:bCs/>
                <w:szCs w:val="21"/>
              </w:rPr>
              <w:t>分；</w:t>
            </w:r>
          </w:p>
          <w:p w14:paraId="792C60FD">
            <w:pPr>
              <w:rPr>
                <w:rFonts w:ascii="宋体" w:hAnsi="宋体" w:cs="宋体"/>
                <w:bCs/>
                <w:szCs w:val="21"/>
              </w:rPr>
            </w:pPr>
            <w:r>
              <w:rPr>
                <w:rFonts w:hint="eastAsia" w:ascii="宋体" w:hAnsi="宋体" w:cs="宋体"/>
                <w:bCs/>
                <w:szCs w:val="21"/>
              </w:rPr>
              <w:t>一般得</w:t>
            </w:r>
            <w:r>
              <w:rPr>
                <w:rFonts w:ascii="宋体" w:hAnsi="宋体" w:cs="宋体"/>
                <w:bCs/>
                <w:szCs w:val="21"/>
              </w:rPr>
              <w:t>4</w:t>
            </w:r>
            <w:r>
              <w:rPr>
                <w:rFonts w:hint="eastAsia" w:ascii="宋体" w:hAnsi="宋体" w:cs="宋体"/>
                <w:bCs/>
                <w:szCs w:val="21"/>
              </w:rPr>
              <w:t>-</w:t>
            </w:r>
            <w:r>
              <w:rPr>
                <w:rFonts w:ascii="宋体" w:hAnsi="宋体" w:cs="宋体"/>
                <w:bCs/>
                <w:szCs w:val="21"/>
              </w:rPr>
              <w:t>3.5</w:t>
            </w:r>
            <w:r>
              <w:rPr>
                <w:rFonts w:hint="eastAsia" w:ascii="宋体" w:hAnsi="宋体" w:cs="宋体"/>
                <w:bCs/>
                <w:szCs w:val="21"/>
              </w:rPr>
              <w:t>分；</w:t>
            </w:r>
          </w:p>
          <w:p w14:paraId="6CCE0EAE">
            <w:pPr>
              <w:pStyle w:val="14"/>
              <w:rPr>
                <w:sz w:val="21"/>
                <w:szCs w:val="21"/>
              </w:rPr>
            </w:pPr>
            <w:r>
              <w:rPr>
                <w:rFonts w:hint="eastAsia" w:ascii="宋体" w:hAnsi="宋体" w:cs="宋体"/>
                <w:bCs/>
                <w:sz w:val="21"/>
                <w:szCs w:val="21"/>
              </w:rPr>
              <w:t>较差得</w:t>
            </w:r>
            <w:r>
              <w:rPr>
                <w:rFonts w:ascii="宋体" w:hAnsi="宋体" w:cs="宋体"/>
                <w:bCs/>
                <w:sz w:val="21"/>
                <w:szCs w:val="21"/>
              </w:rPr>
              <w:t>3.5</w:t>
            </w:r>
            <w:r>
              <w:rPr>
                <w:rFonts w:hint="eastAsia" w:ascii="宋体" w:hAnsi="宋体" w:cs="宋体"/>
                <w:bCs/>
                <w:sz w:val="21"/>
                <w:szCs w:val="21"/>
              </w:rPr>
              <w:t>-</w:t>
            </w:r>
            <w:r>
              <w:rPr>
                <w:rFonts w:ascii="宋体" w:hAnsi="宋体" w:cs="宋体"/>
                <w:bCs/>
                <w:sz w:val="21"/>
                <w:szCs w:val="21"/>
              </w:rPr>
              <w:t>3</w:t>
            </w:r>
            <w:r>
              <w:rPr>
                <w:rFonts w:hint="eastAsia" w:ascii="宋体" w:hAnsi="宋体" w:cs="宋体"/>
                <w:bCs/>
                <w:sz w:val="21"/>
                <w:szCs w:val="21"/>
              </w:rPr>
              <w:t>分。</w:t>
            </w:r>
          </w:p>
        </w:tc>
      </w:tr>
      <w:tr w14:paraId="68DA0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2" w:type="dxa"/>
            <w:vMerge w:val="continue"/>
            <w:vAlign w:val="center"/>
          </w:tcPr>
          <w:p w14:paraId="44E39D65">
            <w:pPr>
              <w:wordWrap w:val="0"/>
              <w:spacing w:line="380" w:lineRule="atLeast"/>
              <w:jc w:val="center"/>
              <w:rPr>
                <w:szCs w:val="21"/>
              </w:rPr>
            </w:pPr>
          </w:p>
        </w:tc>
        <w:tc>
          <w:tcPr>
            <w:tcW w:w="1371" w:type="dxa"/>
            <w:gridSpan w:val="2"/>
            <w:vMerge w:val="continue"/>
            <w:vAlign w:val="center"/>
          </w:tcPr>
          <w:p w14:paraId="6B19F678">
            <w:pPr>
              <w:wordWrap w:val="0"/>
              <w:spacing w:line="380" w:lineRule="atLeast"/>
              <w:jc w:val="center"/>
              <w:rPr>
                <w:szCs w:val="21"/>
              </w:rPr>
            </w:pPr>
          </w:p>
        </w:tc>
        <w:tc>
          <w:tcPr>
            <w:tcW w:w="992" w:type="dxa"/>
            <w:vMerge w:val="continue"/>
            <w:vAlign w:val="center"/>
          </w:tcPr>
          <w:p w14:paraId="5E113E12">
            <w:pPr>
              <w:wordWrap w:val="0"/>
              <w:spacing w:line="380" w:lineRule="atLeast"/>
              <w:jc w:val="right"/>
              <w:rPr>
                <w:szCs w:val="21"/>
                <w:u w:val="single"/>
              </w:rPr>
            </w:pPr>
          </w:p>
        </w:tc>
        <w:tc>
          <w:tcPr>
            <w:tcW w:w="1674" w:type="dxa"/>
            <w:vAlign w:val="center"/>
          </w:tcPr>
          <w:p w14:paraId="568728B5">
            <w:pPr>
              <w:pStyle w:val="14"/>
              <w:jc w:val="center"/>
              <w:rPr>
                <w:sz w:val="21"/>
                <w:szCs w:val="21"/>
              </w:rPr>
            </w:pPr>
            <w:r>
              <w:rPr>
                <w:rFonts w:hint="eastAsia" w:ascii="宋体" w:hAnsi="宋体"/>
                <w:sz w:val="21"/>
                <w:szCs w:val="21"/>
              </w:rPr>
              <w:t>工程质量管理体系及保证措施（</w:t>
            </w:r>
            <w:r>
              <w:rPr>
                <w:rFonts w:hint="eastAsia" w:ascii="宋体" w:hAnsi="宋体" w:eastAsiaTheme="minorEastAsia"/>
                <w:sz w:val="21"/>
                <w:szCs w:val="21"/>
              </w:rPr>
              <w:t>4</w:t>
            </w:r>
            <w:r>
              <w:rPr>
                <w:rFonts w:hint="eastAsia" w:ascii="宋体" w:hAnsi="宋体"/>
                <w:sz w:val="21"/>
                <w:szCs w:val="21"/>
              </w:rPr>
              <w:t>分）</w:t>
            </w:r>
          </w:p>
        </w:tc>
        <w:tc>
          <w:tcPr>
            <w:tcW w:w="743" w:type="dxa"/>
            <w:vAlign w:val="center"/>
          </w:tcPr>
          <w:p w14:paraId="1A317E60">
            <w:pPr>
              <w:pStyle w:val="14"/>
              <w:jc w:val="center"/>
              <w:rPr>
                <w:sz w:val="21"/>
                <w:szCs w:val="21"/>
                <w:u w:val="single"/>
              </w:rPr>
            </w:pPr>
            <w:r>
              <w:rPr>
                <w:rFonts w:hint="eastAsia" w:ascii="宋体" w:hAnsi="宋体"/>
                <w:sz w:val="21"/>
                <w:szCs w:val="21"/>
              </w:rPr>
              <w:t>2.4～4分</w:t>
            </w:r>
          </w:p>
        </w:tc>
        <w:tc>
          <w:tcPr>
            <w:tcW w:w="2699" w:type="dxa"/>
            <w:vAlign w:val="center"/>
          </w:tcPr>
          <w:p w14:paraId="3151C618">
            <w:pPr>
              <w:rPr>
                <w:rFonts w:ascii="宋体" w:hAnsi="宋体"/>
                <w:szCs w:val="21"/>
              </w:rPr>
            </w:pPr>
            <w:r>
              <w:rPr>
                <w:rFonts w:hint="eastAsia" w:ascii="宋体" w:hAnsi="宋体"/>
                <w:szCs w:val="21"/>
              </w:rPr>
              <w:t>针对本项目的工程质量管理体系及保证措施（含有效的</w:t>
            </w:r>
            <w:r>
              <w:rPr>
                <w:rFonts w:ascii="宋体" w:hAnsi="宋体"/>
                <w:szCs w:val="21"/>
              </w:rPr>
              <w:t>档案及内业管理措施</w:t>
            </w:r>
            <w:r>
              <w:rPr>
                <w:rFonts w:hint="eastAsia" w:ascii="宋体" w:hAnsi="宋体"/>
                <w:szCs w:val="21"/>
              </w:rPr>
              <w:t>）优劣程度。</w:t>
            </w:r>
          </w:p>
          <w:p w14:paraId="5492D67C">
            <w:pPr>
              <w:rPr>
                <w:rFonts w:ascii="宋体" w:hAnsi="宋体" w:cs="宋体"/>
                <w:bCs/>
                <w:szCs w:val="21"/>
              </w:rPr>
            </w:pPr>
            <w:r>
              <w:rPr>
                <w:rFonts w:hint="eastAsia" w:ascii="宋体" w:hAnsi="宋体" w:cs="宋体"/>
                <w:bCs/>
                <w:szCs w:val="21"/>
              </w:rPr>
              <w:t>优秀得</w:t>
            </w:r>
            <w:r>
              <w:rPr>
                <w:rFonts w:ascii="宋体" w:hAnsi="宋体" w:cs="宋体"/>
                <w:bCs/>
                <w:szCs w:val="21"/>
              </w:rPr>
              <w:t>4</w:t>
            </w:r>
            <w:r>
              <w:rPr>
                <w:rFonts w:hint="eastAsia" w:ascii="宋体" w:hAnsi="宋体" w:cs="宋体"/>
                <w:bCs/>
                <w:szCs w:val="21"/>
              </w:rPr>
              <w:t>-</w:t>
            </w:r>
            <w:r>
              <w:rPr>
                <w:rFonts w:ascii="宋体" w:hAnsi="宋体" w:cs="宋体"/>
                <w:bCs/>
                <w:szCs w:val="21"/>
              </w:rPr>
              <w:t>3.6</w:t>
            </w:r>
            <w:r>
              <w:rPr>
                <w:rFonts w:hint="eastAsia" w:ascii="宋体" w:hAnsi="宋体" w:cs="宋体"/>
                <w:bCs/>
                <w:szCs w:val="21"/>
              </w:rPr>
              <w:t>分；</w:t>
            </w:r>
          </w:p>
          <w:p w14:paraId="203B3AC0">
            <w:pPr>
              <w:rPr>
                <w:rFonts w:ascii="宋体" w:hAnsi="宋体" w:cs="宋体"/>
                <w:bCs/>
                <w:szCs w:val="21"/>
              </w:rPr>
            </w:pPr>
            <w:r>
              <w:rPr>
                <w:rFonts w:hint="eastAsia" w:ascii="宋体" w:hAnsi="宋体" w:cs="宋体"/>
                <w:bCs/>
                <w:szCs w:val="21"/>
              </w:rPr>
              <w:t>良好得</w:t>
            </w:r>
            <w:r>
              <w:rPr>
                <w:rFonts w:ascii="宋体" w:hAnsi="宋体" w:cs="宋体"/>
                <w:bCs/>
                <w:szCs w:val="21"/>
              </w:rPr>
              <w:t>3.6</w:t>
            </w:r>
            <w:r>
              <w:rPr>
                <w:rFonts w:hint="eastAsia" w:ascii="宋体" w:hAnsi="宋体" w:cs="宋体"/>
                <w:bCs/>
                <w:szCs w:val="21"/>
              </w:rPr>
              <w:t>-</w:t>
            </w:r>
            <w:r>
              <w:rPr>
                <w:rFonts w:ascii="宋体" w:hAnsi="宋体" w:cs="宋体"/>
                <w:bCs/>
                <w:szCs w:val="21"/>
              </w:rPr>
              <w:t>3.2</w:t>
            </w:r>
            <w:r>
              <w:rPr>
                <w:rFonts w:hint="eastAsia" w:ascii="宋体" w:hAnsi="宋体" w:cs="宋体"/>
                <w:bCs/>
                <w:szCs w:val="21"/>
              </w:rPr>
              <w:t>分；</w:t>
            </w:r>
          </w:p>
          <w:p w14:paraId="1B499A37">
            <w:pPr>
              <w:rPr>
                <w:rFonts w:ascii="宋体" w:hAnsi="宋体" w:cs="宋体"/>
                <w:bCs/>
                <w:szCs w:val="21"/>
              </w:rPr>
            </w:pPr>
            <w:r>
              <w:rPr>
                <w:rFonts w:hint="eastAsia" w:ascii="宋体" w:hAnsi="宋体" w:cs="宋体"/>
                <w:bCs/>
                <w:szCs w:val="21"/>
              </w:rPr>
              <w:t>一般得</w:t>
            </w:r>
            <w:r>
              <w:rPr>
                <w:rFonts w:ascii="宋体" w:hAnsi="宋体" w:cs="宋体"/>
                <w:bCs/>
                <w:szCs w:val="21"/>
              </w:rPr>
              <w:t>3.2</w:t>
            </w:r>
            <w:r>
              <w:rPr>
                <w:rFonts w:hint="eastAsia" w:ascii="宋体" w:hAnsi="宋体" w:cs="宋体"/>
                <w:bCs/>
                <w:szCs w:val="21"/>
              </w:rPr>
              <w:t>-</w:t>
            </w:r>
            <w:r>
              <w:rPr>
                <w:rFonts w:ascii="宋体" w:hAnsi="宋体" w:cs="宋体"/>
                <w:bCs/>
                <w:szCs w:val="21"/>
              </w:rPr>
              <w:t>2.8</w:t>
            </w:r>
            <w:r>
              <w:rPr>
                <w:rFonts w:hint="eastAsia" w:ascii="宋体" w:hAnsi="宋体" w:cs="宋体"/>
                <w:bCs/>
                <w:szCs w:val="21"/>
              </w:rPr>
              <w:t>分；</w:t>
            </w:r>
          </w:p>
          <w:p w14:paraId="15F4BBEC">
            <w:pPr>
              <w:pStyle w:val="14"/>
              <w:rPr>
                <w:sz w:val="21"/>
                <w:szCs w:val="21"/>
              </w:rPr>
            </w:pPr>
            <w:r>
              <w:rPr>
                <w:rFonts w:hint="eastAsia" w:ascii="宋体" w:hAnsi="宋体" w:cs="宋体"/>
                <w:bCs/>
                <w:sz w:val="21"/>
                <w:szCs w:val="21"/>
              </w:rPr>
              <w:t>较差得</w:t>
            </w:r>
            <w:r>
              <w:rPr>
                <w:rFonts w:ascii="宋体" w:hAnsi="宋体" w:cs="宋体"/>
                <w:bCs/>
                <w:sz w:val="21"/>
                <w:szCs w:val="21"/>
              </w:rPr>
              <w:t>2.8</w:t>
            </w:r>
            <w:r>
              <w:rPr>
                <w:rFonts w:hint="eastAsia" w:ascii="宋体" w:hAnsi="宋体" w:cs="宋体"/>
                <w:bCs/>
                <w:sz w:val="21"/>
                <w:szCs w:val="21"/>
              </w:rPr>
              <w:t>-</w:t>
            </w:r>
            <w:r>
              <w:rPr>
                <w:rFonts w:ascii="宋体" w:hAnsi="宋体" w:cs="宋体"/>
                <w:bCs/>
                <w:sz w:val="21"/>
                <w:szCs w:val="21"/>
              </w:rPr>
              <w:t>2.4</w:t>
            </w:r>
            <w:r>
              <w:rPr>
                <w:rFonts w:hint="eastAsia" w:ascii="宋体" w:hAnsi="宋体" w:cs="宋体"/>
                <w:bCs/>
                <w:sz w:val="21"/>
                <w:szCs w:val="21"/>
              </w:rPr>
              <w:t>分。</w:t>
            </w:r>
          </w:p>
        </w:tc>
      </w:tr>
      <w:tr w14:paraId="2059B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2" w:type="dxa"/>
            <w:vMerge w:val="continue"/>
            <w:vAlign w:val="center"/>
          </w:tcPr>
          <w:p w14:paraId="0FE4D6AB">
            <w:pPr>
              <w:wordWrap w:val="0"/>
              <w:spacing w:line="380" w:lineRule="atLeast"/>
              <w:jc w:val="center"/>
              <w:rPr>
                <w:szCs w:val="21"/>
              </w:rPr>
            </w:pPr>
          </w:p>
        </w:tc>
        <w:tc>
          <w:tcPr>
            <w:tcW w:w="1371" w:type="dxa"/>
            <w:gridSpan w:val="2"/>
            <w:vMerge w:val="continue"/>
            <w:vAlign w:val="center"/>
          </w:tcPr>
          <w:p w14:paraId="590C2587">
            <w:pPr>
              <w:wordWrap w:val="0"/>
              <w:spacing w:line="380" w:lineRule="atLeast"/>
              <w:jc w:val="center"/>
              <w:rPr>
                <w:szCs w:val="21"/>
              </w:rPr>
            </w:pPr>
          </w:p>
        </w:tc>
        <w:tc>
          <w:tcPr>
            <w:tcW w:w="992" w:type="dxa"/>
            <w:vMerge w:val="continue"/>
            <w:vAlign w:val="center"/>
          </w:tcPr>
          <w:p w14:paraId="420889DA">
            <w:pPr>
              <w:wordWrap w:val="0"/>
              <w:spacing w:line="380" w:lineRule="atLeast"/>
              <w:jc w:val="right"/>
              <w:rPr>
                <w:szCs w:val="21"/>
                <w:u w:val="single"/>
              </w:rPr>
            </w:pPr>
          </w:p>
        </w:tc>
        <w:tc>
          <w:tcPr>
            <w:tcW w:w="1674" w:type="dxa"/>
            <w:vAlign w:val="center"/>
          </w:tcPr>
          <w:p w14:paraId="5C9D59EB">
            <w:pPr>
              <w:pStyle w:val="14"/>
              <w:jc w:val="center"/>
              <w:rPr>
                <w:sz w:val="21"/>
                <w:szCs w:val="21"/>
              </w:rPr>
            </w:pPr>
            <w:r>
              <w:rPr>
                <w:rFonts w:hint="eastAsia" w:ascii="宋体" w:hAnsi="宋体"/>
                <w:sz w:val="21"/>
                <w:szCs w:val="21"/>
              </w:rPr>
              <w:t>安全生产管理体系及保证措施（</w:t>
            </w:r>
            <w:r>
              <w:rPr>
                <w:rFonts w:hint="eastAsia" w:ascii="宋体" w:hAnsi="宋体" w:eastAsiaTheme="minorEastAsia"/>
                <w:sz w:val="21"/>
                <w:szCs w:val="21"/>
              </w:rPr>
              <w:t>4</w:t>
            </w:r>
            <w:r>
              <w:rPr>
                <w:rFonts w:hint="eastAsia" w:ascii="宋体" w:hAnsi="宋体"/>
                <w:sz w:val="21"/>
                <w:szCs w:val="21"/>
              </w:rPr>
              <w:t>分）</w:t>
            </w:r>
          </w:p>
        </w:tc>
        <w:tc>
          <w:tcPr>
            <w:tcW w:w="743" w:type="dxa"/>
            <w:vAlign w:val="center"/>
          </w:tcPr>
          <w:p w14:paraId="1B8F7187">
            <w:pPr>
              <w:pStyle w:val="14"/>
              <w:jc w:val="center"/>
              <w:rPr>
                <w:sz w:val="21"/>
                <w:szCs w:val="21"/>
                <w:u w:val="single"/>
              </w:rPr>
            </w:pPr>
            <w:r>
              <w:rPr>
                <w:rFonts w:hint="eastAsia" w:ascii="宋体" w:hAnsi="宋体"/>
                <w:sz w:val="21"/>
                <w:szCs w:val="21"/>
              </w:rPr>
              <w:t>2.4～4分</w:t>
            </w:r>
          </w:p>
        </w:tc>
        <w:tc>
          <w:tcPr>
            <w:tcW w:w="2699" w:type="dxa"/>
            <w:vAlign w:val="center"/>
          </w:tcPr>
          <w:p w14:paraId="54B5EF9B">
            <w:pPr>
              <w:rPr>
                <w:rFonts w:ascii="宋体" w:hAnsi="宋体"/>
                <w:szCs w:val="21"/>
              </w:rPr>
            </w:pPr>
            <w:r>
              <w:rPr>
                <w:rFonts w:hint="eastAsia" w:ascii="宋体" w:hAnsi="宋体"/>
                <w:szCs w:val="21"/>
              </w:rPr>
              <w:t>针对本项目的安全生产管理体系及保证措施优劣程度。</w:t>
            </w:r>
          </w:p>
          <w:p w14:paraId="570BCEAF">
            <w:pPr>
              <w:rPr>
                <w:rFonts w:ascii="宋体" w:hAnsi="宋体" w:cs="宋体"/>
                <w:bCs/>
                <w:szCs w:val="21"/>
              </w:rPr>
            </w:pPr>
            <w:r>
              <w:rPr>
                <w:rFonts w:hint="eastAsia" w:ascii="宋体" w:hAnsi="宋体" w:cs="宋体"/>
                <w:bCs/>
                <w:szCs w:val="21"/>
              </w:rPr>
              <w:t>优秀得</w:t>
            </w:r>
            <w:r>
              <w:rPr>
                <w:rFonts w:ascii="宋体" w:hAnsi="宋体" w:cs="宋体"/>
                <w:bCs/>
                <w:szCs w:val="21"/>
              </w:rPr>
              <w:t>4</w:t>
            </w:r>
            <w:r>
              <w:rPr>
                <w:rFonts w:hint="eastAsia" w:ascii="宋体" w:hAnsi="宋体" w:cs="宋体"/>
                <w:bCs/>
                <w:szCs w:val="21"/>
              </w:rPr>
              <w:t>-</w:t>
            </w:r>
            <w:r>
              <w:rPr>
                <w:rFonts w:ascii="宋体" w:hAnsi="宋体" w:cs="宋体"/>
                <w:bCs/>
                <w:szCs w:val="21"/>
              </w:rPr>
              <w:t>3.6</w:t>
            </w:r>
            <w:r>
              <w:rPr>
                <w:rFonts w:hint="eastAsia" w:ascii="宋体" w:hAnsi="宋体" w:cs="宋体"/>
                <w:bCs/>
                <w:szCs w:val="21"/>
              </w:rPr>
              <w:t>分；</w:t>
            </w:r>
          </w:p>
          <w:p w14:paraId="7B04FC24">
            <w:pPr>
              <w:rPr>
                <w:rFonts w:ascii="宋体" w:hAnsi="宋体" w:cs="宋体"/>
                <w:bCs/>
                <w:szCs w:val="21"/>
              </w:rPr>
            </w:pPr>
            <w:r>
              <w:rPr>
                <w:rFonts w:hint="eastAsia" w:ascii="宋体" w:hAnsi="宋体" w:cs="宋体"/>
                <w:bCs/>
                <w:szCs w:val="21"/>
              </w:rPr>
              <w:t>良好得</w:t>
            </w:r>
            <w:r>
              <w:rPr>
                <w:rFonts w:ascii="宋体" w:hAnsi="宋体" w:cs="宋体"/>
                <w:bCs/>
                <w:szCs w:val="21"/>
              </w:rPr>
              <w:t>3.6</w:t>
            </w:r>
            <w:r>
              <w:rPr>
                <w:rFonts w:hint="eastAsia" w:ascii="宋体" w:hAnsi="宋体" w:cs="宋体"/>
                <w:bCs/>
                <w:szCs w:val="21"/>
              </w:rPr>
              <w:t>-</w:t>
            </w:r>
            <w:r>
              <w:rPr>
                <w:rFonts w:ascii="宋体" w:hAnsi="宋体" w:cs="宋体"/>
                <w:bCs/>
                <w:szCs w:val="21"/>
              </w:rPr>
              <w:t>3.2</w:t>
            </w:r>
            <w:r>
              <w:rPr>
                <w:rFonts w:hint="eastAsia" w:ascii="宋体" w:hAnsi="宋体" w:cs="宋体"/>
                <w:bCs/>
                <w:szCs w:val="21"/>
              </w:rPr>
              <w:t>分；</w:t>
            </w:r>
          </w:p>
          <w:p w14:paraId="0949F8DA">
            <w:pPr>
              <w:rPr>
                <w:rFonts w:ascii="宋体" w:hAnsi="宋体" w:cs="宋体"/>
                <w:bCs/>
                <w:szCs w:val="21"/>
              </w:rPr>
            </w:pPr>
            <w:r>
              <w:rPr>
                <w:rFonts w:hint="eastAsia" w:ascii="宋体" w:hAnsi="宋体" w:cs="宋体"/>
                <w:bCs/>
                <w:szCs w:val="21"/>
              </w:rPr>
              <w:t>一般得</w:t>
            </w:r>
            <w:r>
              <w:rPr>
                <w:rFonts w:ascii="宋体" w:hAnsi="宋体" w:cs="宋体"/>
                <w:bCs/>
                <w:szCs w:val="21"/>
              </w:rPr>
              <w:t>3.2</w:t>
            </w:r>
            <w:r>
              <w:rPr>
                <w:rFonts w:hint="eastAsia" w:ascii="宋体" w:hAnsi="宋体" w:cs="宋体"/>
                <w:bCs/>
                <w:szCs w:val="21"/>
              </w:rPr>
              <w:t>-</w:t>
            </w:r>
            <w:r>
              <w:rPr>
                <w:rFonts w:ascii="宋体" w:hAnsi="宋体" w:cs="宋体"/>
                <w:bCs/>
                <w:szCs w:val="21"/>
              </w:rPr>
              <w:t>2.8</w:t>
            </w:r>
            <w:r>
              <w:rPr>
                <w:rFonts w:hint="eastAsia" w:ascii="宋体" w:hAnsi="宋体" w:cs="宋体"/>
                <w:bCs/>
                <w:szCs w:val="21"/>
              </w:rPr>
              <w:t>分；</w:t>
            </w:r>
          </w:p>
          <w:p w14:paraId="33B420C3">
            <w:pPr>
              <w:pStyle w:val="14"/>
              <w:rPr>
                <w:rFonts w:hint="eastAsia" w:eastAsia="宋体"/>
                <w:sz w:val="21"/>
                <w:szCs w:val="21"/>
                <w:lang w:eastAsia="zh-CN"/>
              </w:rPr>
            </w:pPr>
            <w:r>
              <w:rPr>
                <w:rFonts w:hint="eastAsia" w:ascii="宋体" w:hAnsi="宋体" w:cs="宋体"/>
                <w:bCs/>
                <w:sz w:val="21"/>
                <w:szCs w:val="21"/>
              </w:rPr>
              <w:t>较差得</w:t>
            </w:r>
            <w:r>
              <w:rPr>
                <w:rFonts w:ascii="宋体" w:hAnsi="宋体" w:cs="宋体"/>
                <w:bCs/>
                <w:sz w:val="21"/>
                <w:szCs w:val="21"/>
              </w:rPr>
              <w:t>2.8</w:t>
            </w:r>
            <w:r>
              <w:rPr>
                <w:rFonts w:hint="eastAsia" w:ascii="宋体" w:hAnsi="宋体" w:cs="宋体"/>
                <w:bCs/>
                <w:sz w:val="21"/>
                <w:szCs w:val="21"/>
              </w:rPr>
              <w:t>-</w:t>
            </w:r>
            <w:r>
              <w:rPr>
                <w:rFonts w:ascii="宋体" w:hAnsi="宋体" w:cs="宋体"/>
                <w:bCs/>
                <w:sz w:val="21"/>
                <w:szCs w:val="21"/>
              </w:rPr>
              <w:t>2.4</w:t>
            </w:r>
            <w:r>
              <w:rPr>
                <w:rFonts w:hint="eastAsia" w:ascii="宋体" w:hAnsi="宋体" w:cs="宋体"/>
                <w:bCs/>
                <w:sz w:val="21"/>
                <w:szCs w:val="21"/>
              </w:rPr>
              <w:t>分。</w:t>
            </w:r>
          </w:p>
        </w:tc>
      </w:tr>
      <w:tr w14:paraId="05A3F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2" w:type="dxa"/>
            <w:vMerge w:val="continue"/>
            <w:vAlign w:val="center"/>
          </w:tcPr>
          <w:p w14:paraId="2D258381">
            <w:pPr>
              <w:wordWrap w:val="0"/>
              <w:spacing w:line="380" w:lineRule="atLeast"/>
              <w:jc w:val="center"/>
              <w:rPr>
                <w:szCs w:val="21"/>
              </w:rPr>
            </w:pPr>
          </w:p>
        </w:tc>
        <w:tc>
          <w:tcPr>
            <w:tcW w:w="1371" w:type="dxa"/>
            <w:gridSpan w:val="2"/>
            <w:vMerge w:val="continue"/>
            <w:vAlign w:val="center"/>
          </w:tcPr>
          <w:p w14:paraId="1332B3DF">
            <w:pPr>
              <w:wordWrap w:val="0"/>
              <w:spacing w:line="380" w:lineRule="atLeast"/>
              <w:jc w:val="center"/>
              <w:rPr>
                <w:szCs w:val="21"/>
              </w:rPr>
            </w:pPr>
          </w:p>
        </w:tc>
        <w:tc>
          <w:tcPr>
            <w:tcW w:w="992" w:type="dxa"/>
            <w:vMerge w:val="continue"/>
            <w:vAlign w:val="center"/>
          </w:tcPr>
          <w:p w14:paraId="1B2B3AD8">
            <w:pPr>
              <w:wordWrap w:val="0"/>
              <w:spacing w:line="380" w:lineRule="atLeast"/>
              <w:jc w:val="right"/>
              <w:rPr>
                <w:szCs w:val="21"/>
                <w:u w:val="single"/>
              </w:rPr>
            </w:pPr>
          </w:p>
        </w:tc>
        <w:tc>
          <w:tcPr>
            <w:tcW w:w="1674" w:type="dxa"/>
            <w:vAlign w:val="center"/>
          </w:tcPr>
          <w:p w14:paraId="647D3939">
            <w:pPr>
              <w:pStyle w:val="14"/>
              <w:jc w:val="center"/>
              <w:rPr>
                <w:sz w:val="21"/>
                <w:szCs w:val="21"/>
              </w:rPr>
            </w:pPr>
            <w:r>
              <w:rPr>
                <w:rFonts w:hint="eastAsia" w:ascii="宋体" w:hAnsi="宋体"/>
                <w:sz w:val="21"/>
                <w:szCs w:val="21"/>
              </w:rPr>
              <w:t>环境保护、水土保持保证体系及保证措施（4分）</w:t>
            </w:r>
          </w:p>
        </w:tc>
        <w:tc>
          <w:tcPr>
            <w:tcW w:w="743" w:type="dxa"/>
            <w:vAlign w:val="center"/>
          </w:tcPr>
          <w:p w14:paraId="330927DC">
            <w:pPr>
              <w:pStyle w:val="14"/>
              <w:jc w:val="center"/>
              <w:rPr>
                <w:sz w:val="21"/>
                <w:szCs w:val="21"/>
                <w:u w:val="single"/>
              </w:rPr>
            </w:pPr>
            <w:r>
              <w:rPr>
                <w:rFonts w:hint="eastAsia" w:ascii="宋体" w:hAnsi="宋体"/>
                <w:sz w:val="21"/>
                <w:szCs w:val="21"/>
              </w:rPr>
              <w:t>2.4～4分</w:t>
            </w:r>
          </w:p>
        </w:tc>
        <w:tc>
          <w:tcPr>
            <w:tcW w:w="2699" w:type="dxa"/>
            <w:vAlign w:val="center"/>
          </w:tcPr>
          <w:p w14:paraId="267A799E">
            <w:pPr>
              <w:snapToGrid w:val="0"/>
              <w:ind w:left="-82" w:leftChars="-39"/>
              <w:rPr>
                <w:rFonts w:ascii="宋体" w:hAnsi="宋体"/>
                <w:szCs w:val="21"/>
              </w:rPr>
            </w:pPr>
            <w:r>
              <w:rPr>
                <w:rFonts w:hint="eastAsia" w:ascii="宋体" w:hAnsi="宋体"/>
                <w:szCs w:val="21"/>
              </w:rPr>
              <w:t>针对本项目的环境保护、水土保持保证体系及保证措施优劣程度。</w:t>
            </w:r>
          </w:p>
          <w:p w14:paraId="4398751F">
            <w:pPr>
              <w:rPr>
                <w:rFonts w:ascii="宋体" w:hAnsi="宋体" w:cs="宋体"/>
                <w:bCs/>
                <w:szCs w:val="21"/>
              </w:rPr>
            </w:pPr>
            <w:r>
              <w:rPr>
                <w:rFonts w:hint="eastAsia" w:ascii="宋体" w:hAnsi="宋体" w:cs="宋体"/>
                <w:bCs/>
                <w:szCs w:val="21"/>
              </w:rPr>
              <w:t>优秀得</w:t>
            </w:r>
            <w:r>
              <w:rPr>
                <w:rFonts w:ascii="宋体" w:hAnsi="宋体" w:cs="宋体"/>
                <w:bCs/>
                <w:szCs w:val="21"/>
              </w:rPr>
              <w:t>4</w:t>
            </w:r>
            <w:r>
              <w:rPr>
                <w:rFonts w:hint="eastAsia" w:ascii="宋体" w:hAnsi="宋体" w:cs="宋体"/>
                <w:bCs/>
                <w:szCs w:val="21"/>
              </w:rPr>
              <w:t>-</w:t>
            </w:r>
            <w:r>
              <w:rPr>
                <w:rFonts w:ascii="宋体" w:hAnsi="宋体" w:cs="宋体"/>
                <w:bCs/>
                <w:szCs w:val="21"/>
              </w:rPr>
              <w:t>3.6</w:t>
            </w:r>
            <w:r>
              <w:rPr>
                <w:rFonts w:hint="eastAsia" w:ascii="宋体" w:hAnsi="宋体" w:cs="宋体"/>
                <w:bCs/>
                <w:szCs w:val="21"/>
              </w:rPr>
              <w:t>分；</w:t>
            </w:r>
          </w:p>
          <w:p w14:paraId="4AD1EE1E">
            <w:pPr>
              <w:rPr>
                <w:rFonts w:ascii="宋体" w:hAnsi="宋体" w:cs="宋体"/>
                <w:bCs/>
                <w:szCs w:val="21"/>
              </w:rPr>
            </w:pPr>
            <w:r>
              <w:rPr>
                <w:rFonts w:hint="eastAsia" w:ascii="宋体" w:hAnsi="宋体" w:cs="宋体"/>
                <w:bCs/>
                <w:szCs w:val="21"/>
              </w:rPr>
              <w:t>良好得</w:t>
            </w:r>
            <w:r>
              <w:rPr>
                <w:rFonts w:ascii="宋体" w:hAnsi="宋体" w:cs="宋体"/>
                <w:bCs/>
                <w:szCs w:val="21"/>
              </w:rPr>
              <w:t>3.6</w:t>
            </w:r>
            <w:r>
              <w:rPr>
                <w:rFonts w:hint="eastAsia" w:ascii="宋体" w:hAnsi="宋体" w:cs="宋体"/>
                <w:bCs/>
                <w:szCs w:val="21"/>
              </w:rPr>
              <w:t>-</w:t>
            </w:r>
            <w:r>
              <w:rPr>
                <w:rFonts w:ascii="宋体" w:hAnsi="宋体" w:cs="宋体"/>
                <w:bCs/>
                <w:szCs w:val="21"/>
              </w:rPr>
              <w:t>3.2</w:t>
            </w:r>
            <w:r>
              <w:rPr>
                <w:rFonts w:hint="eastAsia" w:ascii="宋体" w:hAnsi="宋体" w:cs="宋体"/>
                <w:bCs/>
                <w:szCs w:val="21"/>
              </w:rPr>
              <w:t>分；</w:t>
            </w:r>
          </w:p>
          <w:p w14:paraId="72A8D627">
            <w:pPr>
              <w:rPr>
                <w:rFonts w:ascii="宋体" w:hAnsi="宋体" w:cs="宋体"/>
                <w:bCs/>
                <w:szCs w:val="21"/>
              </w:rPr>
            </w:pPr>
            <w:r>
              <w:rPr>
                <w:rFonts w:hint="eastAsia" w:ascii="宋体" w:hAnsi="宋体" w:cs="宋体"/>
                <w:bCs/>
                <w:szCs w:val="21"/>
              </w:rPr>
              <w:t>一般得</w:t>
            </w:r>
            <w:r>
              <w:rPr>
                <w:rFonts w:ascii="宋体" w:hAnsi="宋体" w:cs="宋体"/>
                <w:bCs/>
                <w:szCs w:val="21"/>
              </w:rPr>
              <w:t>3.2</w:t>
            </w:r>
            <w:r>
              <w:rPr>
                <w:rFonts w:hint="eastAsia" w:ascii="宋体" w:hAnsi="宋体" w:cs="宋体"/>
                <w:bCs/>
                <w:szCs w:val="21"/>
              </w:rPr>
              <w:t>-</w:t>
            </w:r>
            <w:r>
              <w:rPr>
                <w:rFonts w:ascii="宋体" w:hAnsi="宋体" w:cs="宋体"/>
                <w:bCs/>
                <w:szCs w:val="21"/>
              </w:rPr>
              <w:t>2.8</w:t>
            </w:r>
            <w:r>
              <w:rPr>
                <w:rFonts w:hint="eastAsia" w:ascii="宋体" w:hAnsi="宋体" w:cs="宋体"/>
                <w:bCs/>
                <w:szCs w:val="21"/>
              </w:rPr>
              <w:t>分；</w:t>
            </w:r>
          </w:p>
          <w:p w14:paraId="31D2F8EA">
            <w:pPr>
              <w:pStyle w:val="14"/>
              <w:rPr>
                <w:sz w:val="21"/>
                <w:szCs w:val="21"/>
              </w:rPr>
            </w:pPr>
            <w:r>
              <w:rPr>
                <w:rFonts w:hint="eastAsia" w:ascii="宋体" w:hAnsi="宋体" w:cs="宋体"/>
                <w:bCs/>
                <w:sz w:val="21"/>
                <w:szCs w:val="21"/>
              </w:rPr>
              <w:t>较差得</w:t>
            </w:r>
            <w:r>
              <w:rPr>
                <w:rFonts w:ascii="宋体" w:hAnsi="宋体" w:cs="宋体"/>
                <w:bCs/>
                <w:sz w:val="21"/>
                <w:szCs w:val="21"/>
              </w:rPr>
              <w:t>2.8</w:t>
            </w:r>
            <w:r>
              <w:rPr>
                <w:rFonts w:hint="eastAsia" w:ascii="宋体" w:hAnsi="宋体" w:cs="宋体"/>
                <w:bCs/>
                <w:sz w:val="21"/>
                <w:szCs w:val="21"/>
              </w:rPr>
              <w:t>-</w:t>
            </w:r>
            <w:r>
              <w:rPr>
                <w:rFonts w:ascii="宋体" w:hAnsi="宋体" w:cs="宋体"/>
                <w:bCs/>
                <w:sz w:val="21"/>
                <w:szCs w:val="21"/>
              </w:rPr>
              <w:t>2.4</w:t>
            </w:r>
            <w:r>
              <w:rPr>
                <w:rFonts w:hint="eastAsia" w:ascii="宋体" w:hAnsi="宋体" w:cs="宋体"/>
                <w:bCs/>
                <w:sz w:val="21"/>
                <w:szCs w:val="21"/>
              </w:rPr>
              <w:t>分。</w:t>
            </w:r>
          </w:p>
        </w:tc>
      </w:tr>
      <w:tr w14:paraId="7E3F2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2" w:type="dxa"/>
            <w:vMerge w:val="continue"/>
            <w:vAlign w:val="center"/>
          </w:tcPr>
          <w:p w14:paraId="7D8A38F9">
            <w:pPr>
              <w:wordWrap w:val="0"/>
              <w:spacing w:line="380" w:lineRule="atLeast"/>
              <w:jc w:val="center"/>
              <w:rPr>
                <w:szCs w:val="21"/>
              </w:rPr>
            </w:pPr>
          </w:p>
        </w:tc>
        <w:tc>
          <w:tcPr>
            <w:tcW w:w="1371" w:type="dxa"/>
            <w:gridSpan w:val="2"/>
            <w:vMerge w:val="continue"/>
            <w:vAlign w:val="center"/>
          </w:tcPr>
          <w:p w14:paraId="3AB892E5">
            <w:pPr>
              <w:wordWrap w:val="0"/>
              <w:spacing w:line="380" w:lineRule="atLeast"/>
              <w:jc w:val="center"/>
              <w:rPr>
                <w:szCs w:val="21"/>
              </w:rPr>
            </w:pPr>
          </w:p>
        </w:tc>
        <w:tc>
          <w:tcPr>
            <w:tcW w:w="992" w:type="dxa"/>
            <w:vMerge w:val="continue"/>
            <w:vAlign w:val="center"/>
          </w:tcPr>
          <w:p w14:paraId="55E822BF">
            <w:pPr>
              <w:wordWrap w:val="0"/>
              <w:spacing w:line="380" w:lineRule="atLeast"/>
              <w:jc w:val="right"/>
              <w:rPr>
                <w:szCs w:val="21"/>
                <w:u w:val="single"/>
              </w:rPr>
            </w:pPr>
          </w:p>
        </w:tc>
        <w:tc>
          <w:tcPr>
            <w:tcW w:w="1674" w:type="dxa"/>
            <w:vAlign w:val="center"/>
          </w:tcPr>
          <w:p w14:paraId="4589E522">
            <w:pPr>
              <w:pStyle w:val="14"/>
              <w:jc w:val="center"/>
              <w:rPr>
                <w:sz w:val="21"/>
                <w:szCs w:val="21"/>
              </w:rPr>
            </w:pPr>
            <w:r>
              <w:rPr>
                <w:rFonts w:hint="eastAsia" w:ascii="宋体" w:hAnsi="宋体"/>
                <w:sz w:val="21"/>
                <w:szCs w:val="21"/>
              </w:rPr>
              <w:t>文明施工、文物保护保证体系及保证措施（4分）</w:t>
            </w:r>
          </w:p>
        </w:tc>
        <w:tc>
          <w:tcPr>
            <w:tcW w:w="743" w:type="dxa"/>
            <w:vAlign w:val="center"/>
          </w:tcPr>
          <w:p w14:paraId="56282AD5">
            <w:pPr>
              <w:pStyle w:val="14"/>
              <w:jc w:val="center"/>
              <w:rPr>
                <w:sz w:val="21"/>
                <w:szCs w:val="21"/>
                <w:u w:val="single"/>
              </w:rPr>
            </w:pPr>
            <w:r>
              <w:rPr>
                <w:rFonts w:hint="eastAsia" w:ascii="宋体" w:hAnsi="宋体"/>
                <w:sz w:val="21"/>
                <w:szCs w:val="21"/>
              </w:rPr>
              <w:t>2.4～4分</w:t>
            </w:r>
          </w:p>
        </w:tc>
        <w:tc>
          <w:tcPr>
            <w:tcW w:w="2699" w:type="dxa"/>
            <w:vAlign w:val="center"/>
          </w:tcPr>
          <w:p w14:paraId="7D49D13C">
            <w:pPr>
              <w:snapToGrid w:val="0"/>
              <w:ind w:left="-82" w:leftChars="-39"/>
              <w:rPr>
                <w:rFonts w:ascii="宋体" w:hAnsi="宋体"/>
                <w:szCs w:val="21"/>
              </w:rPr>
            </w:pPr>
            <w:r>
              <w:rPr>
                <w:rFonts w:hint="eastAsia" w:ascii="宋体" w:hAnsi="宋体"/>
                <w:szCs w:val="21"/>
              </w:rPr>
              <w:t>针对本项目的文明施工、文物保护保证体系及保证措施优劣程度。</w:t>
            </w:r>
          </w:p>
          <w:p w14:paraId="13ECD56C">
            <w:pPr>
              <w:rPr>
                <w:rFonts w:ascii="宋体" w:hAnsi="宋体" w:cs="宋体"/>
                <w:bCs/>
                <w:szCs w:val="21"/>
              </w:rPr>
            </w:pPr>
            <w:r>
              <w:rPr>
                <w:rFonts w:hint="eastAsia" w:ascii="宋体" w:hAnsi="宋体" w:cs="宋体"/>
                <w:bCs/>
                <w:szCs w:val="21"/>
              </w:rPr>
              <w:t>优秀得</w:t>
            </w:r>
            <w:r>
              <w:rPr>
                <w:rFonts w:ascii="宋体" w:hAnsi="宋体" w:cs="宋体"/>
                <w:bCs/>
                <w:szCs w:val="21"/>
              </w:rPr>
              <w:t>4</w:t>
            </w:r>
            <w:r>
              <w:rPr>
                <w:rFonts w:hint="eastAsia" w:ascii="宋体" w:hAnsi="宋体" w:cs="宋体"/>
                <w:bCs/>
                <w:szCs w:val="21"/>
              </w:rPr>
              <w:t>-</w:t>
            </w:r>
            <w:r>
              <w:rPr>
                <w:rFonts w:ascii="宋体" w:hAnsi="宋体" w:cs="宋体"/>
                <w:bCs/>
                <w:szCs w:val="21"/>
              </w:rPr>
              <w:t>3.6</w:t>
            </w:r>
            <w:r>
              <w:rPr>
                <w:rFonts w:hint="eastAsia" w:ascii="宋体" w:hAnsi="宋体" w:cs="宋体"/>
                <w:bCs/>
                <w:szCs w:val="21"/>
              </w:rPr>
              <w:t>分；</w:t>
            </w:r>
          </w:p>
          <w:p w14:paraId="7FC455FD">
            <w:pPr>
              <w:rPr>
                <w:rFonts w:ascii="宋体" w:hAnsi="宋体" w:cs="宋体"/>
                <w:bCs/>
                <w:szCs w:val="21"/>
              </w:rPr>
            </w:pPr>
            <w:r>
              <w:rPr>
                <w:rFonts w:hint="eastAsia" w:ascii="宋体" w:hAnsi="宋体" w:cs="宋体"/>
                <w:bCs/>
                <w:szCs w:val="21"/>
              </w:rPr>
              <w:t>良好得</w:t>
            </w:r>
            <w:r>
              <w:rPr>
                <w:rFonts w:ascii="宋体" w:hAnsi="宋体" w:cs="宋体"/>
                <w:bCs/>
                <w:szCs w:val="21"/>
              </w:rPr>
              <w:t>3.6</w:t>
            </w:r>
            <w:r>
              <w:rPr>
                <w:rFonts w:hint="eastAsia" w:ascii="宋体" w:hAnsi="宋体" w:cs="宋体"/>
                <w:bCs/>
                <w:szCs w:val="21"/>
              </w:rPr>
              <w:t>-</w:t>
            </w:r>
            <w:r>
              <w:rPr>
                <w:rFonts w:ascii="宋体" w:hAnsi="宋体" w:cs="宋体"/>
                <w:bCs/>
                <w:szCs w:val="21"/>
              </w:rPr>
              <w:t>3.2</w:t>
            </w:r>
            <w:r>
              <w:rPr>
                <w:rFonts w:hint="eastAsia" w:ascii="宋体" w:hAnsi="宋体" w:cs="宋体"/>
                <w:bCs/>
                <w:szCs w:val="21"/>
              </w:rPr>
              <w:t>分；</w:t>
            </w:r>
          </w:p>
          <w:p w14:paraId="2A23CF3C">
            <w:pPr>
              <w:rPr>
                <w:rFonts w:ascii="宋体" w:hAnsi="宋体" w:cs="宋体"/>
                <w:bCs/>
                <w:szCs w:val="21"/>
              </w:rPr>
            </w:pPr>
            <w:r>
              <w:rPr>
                <w:rFonts w:hint="eastAsia" w:ascii="宋体" w:hAnsi="宋体" w:cs="宋体"/>
                <w:bCs/>
                <w:szCs w:val="21"/>
              </w:rPr>
              <w:t>一般得</w:t>
            </w:r>
            <w:r>
              <w:rPr>
                <w:rFonts w:ascii="宋体" w:hAnsi="宋体" w:cs="宋体"/>
                <w:bCs/>
                <w:szCs w:val="21"/>
              </w:rPr>
              <w:t>3.2</w:t>
            </w:r>
            <w:r>
              <w:rPr>
                <w:rFonts w:hint="eastAsia" w:ascii="宋体" w:hAnsi="宋体" w:cs="宋体"/>
                <w:bCs/>
                <w:szCs w:val="21"/>
              </w:rPr>
              <w:t>-</w:t>
            </w:r>
            <w:r>
              <w:rPr>
                <w:rFonts w:ascii="宋体" w:hAnsi="宋体" w:cs="宋体"/>
                <w:bCs/>
                <w:szCs w:val="21"/>
              </w:rPr>
              <w:t>2.8</w:t>
            </w:r>
            <w:r>
              <w:rPr>
                <w:rFonts w:hint="eastAsia" w:ascii="宋体" w:hAnsi="宋体" w:cs="宋体"/>
                <w:bCs/>
                <w:szCs w:val="21"/>
              </w:rPr>
              <w:t>分；</w:t>
            </w:r>
          </w:p>
          <w:p w14:paraId="43F08C32">
            <w:pPr>
              <w:pStyle w:val="14"/>
              <w:rPr>
                <w:sz w:val="21"/>
                <w:szCs w:val="21"/>
              </w:rPr>
            </w:pPr>
            <w:r>
              <w:rPr>
                <w:rFonts w:hint="eastAsia" w:ascii="宋体" w:hAnsi="宋体" w:cs="宋体"/>
                <w:bCs/>
                <w:sz w:val="21"/>
                <w:szCs w:val="21"/>
              </w:rPr>
              <w:t>较差得</w:t>
            </w:r>
            <w:r>
              <w:rPr>
                <w:rFonts w:ascii="宋体" w:hAnsi="宋体" w:cs="宋体"/>
                <w:bCs/>
                <w:sz w:val="21"/>
                <w:szCs w:val="21"/>
              </w:rPr>
              <w:t>2.8</w:t>
            </w:r>
            <w:r>
              <w:rPr>
                <w:rFonts w:hint="eastAsia" w:ascii="宋体" w:hAnsi="宋体" w:cs="宋体"/>
                <w:bCs/>
                <w:sz w:val="21"/>
                <w:szCs w:val="21"/>
              </w:rPr>
              <w:t>-</w:t>
            </w:r>
            <w:r>
              <w:rPr>
                <w:rFonts w:ascii="宋体" w:hAnsi="宋体" w:cs="宋体"/>
                <w:bCs/>
                <w:sz w:val="21"/>
                <w:szCs w:val="21"/>
              </w:rPr>
              <w:t>2.4</w:t>
            </w:r>
            <w:r>
              <w:rPr>
                <w:rFonts w:hint="eastAsia" w:ascii="宋体" w:hAnsi="宋体" w:cs="宋体"/>
                <w:bCs/>
                <w:sz w:val="21"/>
                <w:szCs w:val="21"/>
              </w:rPr>
              <w:t>分。</w:t>
            </w:r>
          </w:p>
        </w:tc>
      </w:tr>
      <w:tr w14:paraId="65202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1" w:hRule="atLeast"/>
        </w:trPr>
        <w:tc>
          <w:tcPr>
            <w:tcW w:w="1412" w:type="dxa"/>
            <w:vMerge w:val="continue"/>
            <w:vAlign w:val="center"/>
          </w:tcPr>
          <w:p w14:paraId="57F79057">
            <w:pPr>
              <w:wordWrap w:val="0"/>
              <w:spacing w:line="380" w:lineRule="atLeast"/>
              <w:jc w:val="center"/>
              <w:rPr>
                <w:szCs w:val="21"/>
              </w:rPr>
            </w:pPr>
          </w:p>
        </w:tc>
        <w:tc>
          <w:tcPr>
            <w:tcW w:w="1371" w:type="dxa"/>
            <w:gridSpan w:val="2"/>
            <w:vMerge w:val="continue"/>
            <w:vAlign w:val="center"/>
          </w:tcPr>
          <w:p w14:paraId="4F692DE6">
            <w:pPr>
              <w:wordWrap w:val="0"/>
              <w:spacing w:line="380" w:lineRule="atLeast"/>
              <w:jc w:val="center"/>
              <w:rPr>
                <w:szCs w:val="21"/>
              </w:rPr>
            </w:pPr>
          </w:p>
        </w:tc>
        <w:tc>
          <w:tcPr>
            <w:tcW w:w="992" w:type="dxa"/>
            <w:vMerge w:val="continue"/>
            <w:vAlign w:val="center"/>
          </w:tcPr>
          <w:p w14:paraId="1112B7A9">
            <w:pPr>
              <w:wordWrap w:val="0"/>
              <w:spacing w:line="380" w:lineRule="atLeast"/>
              <w:jc w:val="right"/>
              <w:rPr>
                <w:szCs w:val="21"/>
                <w:u w:val="single"/>
              </w:rPr>
            </w:pPr>
          </w:p>
        </w:tc>
        <w:tc>
          <w:tcPr>
            <w:tcW w:w="1674" w:type="dxa"/>
            <w:vAlign w:val="center"/>
          </w:tcPr>
          <w:p w14:paraId="161C7F7A">
            <w:pPr>
              <w:pStyle w:val="14"/>
              <w:jc w:val="center"/>
              <w:rPr>
                <w:sz w:val="21"/>
                <w:szCs w:val="21"/>
              </w:rPr>
            </w:pPr>
            <w:r>
              <w:rPr>
                <w:rFonts w:hint="eastAsia" w:ascii="宋体" w:hAnsi="宋体"/>
                <w:sz w:val="21"/>
                <w:szCs w:val="21"/>
              </w:rPr>
              <w:t>项目风险预测与防范，事故应急预案（4分）</w:t>
            </w:r>
          </w:p>
        </w:tc>
        <w:tc>
          <w:tcPr>
            <w:tcW w:w="743" w:type="dxa"/>
            <w:vAlign w:val="center"/>
          </w:tcPr>
          <w:p w14:paraId="5E531DD2">
            <w:pPr>
              <w:pStyle w:val="14"/>
              <w:jc w:val="center"/>
              <w:rPr>
                <w:sz w:val="21"/>
                <w:szCs w:val="21"/>
                <w:u w:val="single"/>
              </w:rPr>
            </w:pPr>
            <w:r>
              <w:rPr>
                <w:rFonts w:hint="eastAsia" w:ascii="宋体" w:hAnsi="宋体"/>
                <w:sz w:val="21"/>
                <w:szCs w:val="21"/>
              </w:rPr>
              <w:t>2.4～4分</w:t>
            </w:r>
          </w:p>
        </w:tc>
        <w:tc>
          <w:tcPr>
            <w:tcW w:w="2699" w:type="dxa"/>
            <w:vAlign w:val="center"/>
          </w:tcPr>
          <w:p w14:paraId="7667EA19">
            <w:pPr>
              <w:snapToGrid w:val="0"/>
              <w:ind w:left="-82" w:leftChars="-39"/>
              <w:rPr>
                <w:rFonts w:ascii="宋体" w:hAnsi="宋体"/>
                <w:szCs w:val="21"/>
              </w:rPr>
            </w:pPr>
            <w:r>
              <w:rPr>
                <w:rFonts w:hint="eastAsia" w:ascii="宋体" w:hAnsi="宋体"/>
                <w:szCs w:val="21"/>
              </w:rPr>
              <w:t>针对本项目的项目风险预测与防范，事故应急预案优劣程度。</w:t>
            </w:r>
          </w:p>
          <w:p w14:paraId="0B8CB214">
            <w:pPr>
              <w:rPr>
                <w:rFonts w:ascii="宋体" w:hAnsi="宋体" w:cs="宋体"/>
                <w:bCs/>
                <w:szCs w:val="21"/>
              </w:rPr>
            </w:pPr>
            <w:r>
              <w:rPr>
                <w:rFonts w:hint="eastAsia" w:ascii="宋体" w:hAnsi="宋体" w:cs="宋体"/>
                <w:bCs/>
                <w:szCs w:val="21"/>
              </w:rPr>
              <w:t>优秀得</w:t>
            </w:r>
            <w:r>
              <w:rPr>
                <w:rFonts w:ascii="宋体" w:hAnsi="宋体" w:cs="宋体"/>
                <w:bCs/>
                <w:szCs w:val="21"/>
              </w:rPr>
              <w:t>4</w:t>
            </w:r>
            <w:r>
              <w:rPr>
                <w:rFonts w:hint="eastAsia" w:ascii="宋体" w:hAnsi="宋体" w:cs="宋体"/>
                <w:bCs/>
                <w:szCs w:val="21"/>
              </w:rPr>
              <w:t>-</w:t>
            </w:r>
            <w:r>
              <w:rPr>
                <w:rFonts w:ascii="宋体" w:hAnsi="宋体" w:cs="宋体"/>
                <w:bCs/>
                <w:szCs w:val="21"/>
              </w:rPr>
              <w:t>3.6</w:t>
            </w:r>
            <w:r>
              <w:rPr>
                <w:rFonts w:hint="eastAsia" w:ascii="宋体" w:hAnsi="宋体" w:cs="宋体"/>
                <w:bCs/>
                <w:szCs w:val="21"/>
              </w:rPr>
              <w:t>分；</w:t>
            </w:r>
          </w:p>
          <w:p w14:paraId="2F985972">
            <w:pPr>
              <w:rPr>
                <w:rFonts w:ascii="宋体" w:hAnsi="宋体" w:cs="宋体"/>
                <w:bCs/>
                <w:szCs w:val="21"/>
              </w:rPr>
            </w:pPr>
            <w:r>
              <w:rPr>
                <w:rFonts w:hint="eastAsia" w:ascii="宋体" w:hAnsi="宋体" w:cs="宋体"/>
                <w:bCs/>
                <w:szCs w:val="21"/>
              </w:rPr>
              <w:t>良好得</w:t>
            </w:r>
            <w:r>
              <w:rPr>
                <w:rFonts w:ascii="宋体" w:hAnsi="宋体" w:cs="宋体"/>
                <w:bCs/>
                <w:szCs w:val="21"/>
              </w:rPr>
              <w:t>3.6</w:t>
            </w:r>
            <w:r>
              <w:rPr>
                <w:rFonts w:hint="eastAsia" w:ascii="宋体" w:hAnsi="宋体" w:cs="宋体"/>
                <w:bCs/>
                <w:szCs w:val="21"/>
              </w:rPr>
              <w:t>-</w:t>
            </w:r>
            <w:r>
              <w:rPr>
                <w:rFonts w:ascii="宋体" w:hAnsi="宋体" w:cs="宋体"/>
                <w:bCs/>
                <w:szCs w:val="21"/>
              </w:rPr>
              <w:t>3.2</w:t>
            </w:r>
            <w:r>
              <w:rPr>
                <w:rFonts w:hint="eastAsia" w:ascii="宋体" w:hAnsi="宋体" w:cs="宋体"/>
                <w:bCs/>
                <w:szCs w:val="21"/>
              </w:rPr>
              <w:t>分；</w:t>
            </w:r>
          </w:p>
          <w:p w14:paraId="02AC3C64">
            <w:pPr>
              <w:rPr>
                <w:rFonts w:ascii="宋体" w:hAnsi="宋体" w:cs="宋体"/>
                <w:bCs/>
                <w:szCs w:val="21"/>
              </w:rPr>
            </w:pPr>
            <w:r>
              <w:rPr>
                <w:rFonts w:hint="eastAsia" w:ascii="宋体" w:hAnsi="宋体" w:cs="宋体"/>
                <w:bCs/>
                <w:szCs w:val="21"/>
              </w:rPr>
              <w:t>一般得</w:t>
            </w:r>
            <w:r>
              <w:rPr>
                <w:rFonts w:ascii="宋体" w:hAnsi="宋体" w:cs="宋体"/>
                <w:bCs/>
                <w:szCs w:val="21"/>
              </w:rPr>
              <w:t>3.2</w:t>
            </w:r>
            <w:r>
              <w:rPr>
                <w:rFonts w:hint="eastAsia" w:ascii="宋体" w:hAnsi="宋体" w:cs="宋体"/>
                <w:bCs/>
                <w:szCs w:val="21"/>
              </w:rPr>
              <w:t>-</w:t>
            </w:r>
            <w:r>
              <w:rPr>
                <w:rFonts w:ascii="宋体" w:hAnsi="宋体" w:cs="宋体"/>
                <w:bCs/>
                <w:szCs w:val="21"/>
              </w:rPr>
              <w:t>2.8</w:t>
            </w:r>
            <w:r>
              <w:rPr>
                <w:rFonts w:hint="eastAsia" w:ascii="宋体" w:hAnsi="宋体" w:cs="宋体"/>
                <w:bCs/>
                <w:szCs w:val="21"/>
              </w:rPr>
              <w:t>分；</w:t>
            </w:r>
          </w:p>
          <w:p w14:paraId="1F74F678">
            <w:pPr>
              <w:pStyle w:val="14"/>
              <w:rPr>
                <w:sz w:val="21"/>
                <w:szCs w:val="21"/>
              </w:rPr>
            </w:pPr>
            <w:r>
              <w:rPr>
                <w:rFonts w:hint="eastAsia" w:ascii="宋体" w:hAnsi="宋体" w:cs="宋体"/>
                <w:bCs/>
                <w:sz w:val="21"/>
                <w:szCs w:val="21"/>
              </w:rPr>
              <w:t>较差得</w:t>
            </w:r>
            <w:r>
              <w:rPr>
                <w:rFonts w:ascii="宋体" w:hAnsi="宋体" w:cs="宋体"/>
                <w:bCs/>
                <w:sz w:val="21"/>
                <w:szCs w:val="21"/>
              </w:rPr>
              <w:t>2.8</w:t>
            </w:r>
            <w:r>
              <w:rPr>
                <w:rFonts w:hint="eastAsia" w:ascii="宋体" w:hAnsi="宋体" w:cs="宋体"/>
                <w:bCs/>
                <w:sz w:val="21"/>
                <w:szCs w:val="21"/>
              </w:rPr>
              <w:t>-</w:t>
            </w:r>
            <w:r>
              <w:rPr>
                <w:rFonts w:ascii="宋体" w:hAnsi="宋体" w:cs="宋体"/>
                <w:bCs/>
                <w:sz w:val="21"/>
                <w:szCs w:val="21"/>
              </w:rPr>
              <w:t>2.4</w:t>
            </w:r>
            <w:r>
              <w:rPr>
                <w:rFonts w:hint="eastAsia" w:ascii="宋体" w:hAnsi="宋体" w:cs="宋体"/>
                <w:bCs/>
                <w:sz w:val="21"/>
                <w:szCs w:val="21"/>
              </w:rPr>
              <w:t>分。</w:t>
            </w:r>
          </w:p>
        </w:tc>
      </w:tr>
      <w:tr w14:paraId="02A40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trPr>
        <w:tc>
          <w:tcPr>
            <w:tcW w:w="1412" w:type="dxa"/>
            <w:vMerge w:val="restart"/>
            <w:vAlign w:val="center"/>
          </w:tcPr>
          <w:p w14:paraId="631B41B0">
            <w:pPr>
              <w:wordWrap w:val="0"/>
              <w:spacing w:line="360" w:lineRule="atLeast"/>
              <w:ind w:left="-92" w:leftChars="-44" w:right="-88" w:rightChars="-42"/>
              <w:jc w:val="center"/>
              <w:rPr>
                <w:szCs w:val="21"/>
              </w:rPr>
            </w:pPr>
            <w:r>
              <w:rPr>
                <w:szCs w:val="21"/>
              </w:rPr>
              <w:t>2.2.2（2）</w:t>
            </w:r>
          </w:p>
        </w:tc>
        <w:tc>
          <w:tcPr>
            <w:tcW w:w="1371" w:type="dxa"/>
            <w:gridSpan w:val="2"/>
            <w:vMerge w:val="restart"/>
            <w:vAlign w:val="center"/>
          </w:tcPr>
          <w:p w14:paraId="27B3F1C1">
            <w:pPr>
              <w:wordWrap w:val="0"/>
              <w:spacing w:line="360" w:lineRule="atLeast"/>
              <w:jc w:val="center"/>
              <w:rPr>
                <w:szCs w:val="21"/>
              </w:rPr>
            </w:pPr>
            <w:r>
              <w:rPr>
                <w:szCs w:val="21"/>
              </w:rPr>
              <w:t>主要人员</w:t>
            </w:r>
          </w:p>
        </w:tc>
        <w:tc>
          <w:tcPr>
            <w:tcW w:w="992" w:type="dxa"/>
            <w:vMerge w:val="restart"/>
            <w:vAlign w:val="center"/>
          </w:tcPr>
          <w:p w14:paraId="3D4E3368">
            <w:pPr>
              <w:wordWrap w:val="0"/>
              <w:spacing w:line="380" w:lineRule="atLeast"/>
              <w:jc w:val="right"/>
              <w:rPr>
                <w:szCs w:val="21"/>
              </w:rPr>
            </w:pPr>
            <w:r>
              <w:rPr>
                <w:rFonts w:hint="eastAsia"/>
                <w:szCs w:val="21"/>
                <w:u w:val="single"/>
              </w:rPr>
              <w:t>25</w:t>
            </w:r>
            <w:r>
              <w:rPr>
                <w:szCs w:val="21"/>
              </w:rPr>
              <w:t>分</w:t>
            </w:r>
          </w:p>
        </w:tc>
        <w:tc>
          <w:tcPr>
            <w:tcW w:w="1674" w:type="dxa"/>
            <w:vAlign w:val="center"/>
          </w:tcPr>
          <w:p w14:paraId="7C1702C1">
            <w:pPr>
              <w:wordWrap w:val="0"/>
              <w:ind w:firstLine="186" w:firstLineChars="89"/>
              <w:rPr>
                <w:szCs w:val="21"/>
              </w:rPr>
            </w:pPr>
            <w:r>
              <w:rPr>
                <w:szCs w:val="21"/>
              </w:rPr>
              <w:t>项目经理</w:t>
            </w:r>
          </w:p>
        </w:tc>
        <w:tc>
          <w:tcPr>
            <w:tcW w:w="743" w:type="dxa"/>
            <w:vAlign w:val="center"/>
          </w:tcPr>
          <w:p w14:paraId="19D1AE7C">
            <w:pPr>
              <w:wordWrap w:val="0"/>
              <w:jc w:val="right"/>
              <w:rPr>
                <w:szCs w:val="21"/>
              </w:rPr>
            </w:pPr>
            <w:r>
              <w:rPr>
                <w:rFonts w:hint="eastAsia"/>
                <w:szCs w:val="21"/>
                <w:u w:val="single"/>
              </w:rPr>
              <w:t>15</w:t>
            </w:r>
            <w:r>
              <w:rPr>
                <w:szCs w:val="21"/>
              </w:rPr>
              <w:t>分</w:t>
            </w:r>
          </w:p>
        </w:tc>
        <w:tc>
          <w:tcPr>
            <w:tcW w:w="2699" w:type="dxa"/>
            <w:vAlign w:val="center"/>
          </w:tcPr>
          <w:p w14:paraId="1C1F9501">
            <w:pPr>
              <w:wordWrap w:val="0"/>
              <w:rPr>
                <w:szCs w:val="21"/>
              </w:rPr>
            </w:pPr>
            <w:r>
              <w:rPr>
                <w:szCs w:val="21"/>
              </w:rPr>
              <w:t>满足资格审查强制性资格条件要求的，得</w:t>
            </w:r>
            <w:r>
              <w:rPr>
                <w:rFonts w:hint="eastAsia"/>
                <w:szCs w:val="21"/>
                <w:lang w:val="en-US" w:eastAsia="zh-CN"/>
              </w:rPr>
              <w:t>15</w:t>
            </w:r>
            <w:r>
              <w:rPr>
                <w:szCs w:val="21"/>
              </w:rPr>
              <w:t>分；</w:t>
            </w:r>
          </w:p>
        </w:tc>
      </w:tr>
      <w:tr w14:paraId="3D75C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1412" w:type="dxa"/>
            <w:vMerge w:val="continue"/>
            <w:vAlign w:val="center"/>
          </w:tcPr>
          <w:p w14:paraId="2C584362">
            <w:pPr>
              <w:wordWrap w:val="0"/>
              <w:spacing w:line="380" w:lineRule="atLeast"/>
              <w:jc w:val="center"/>
              <w:rPr>
                <w:szCs w:val="21"/>
              </w:rPr>
            </w:pPr>
          </w:p>
        </w:tc>
        <w:tc>
          <w:tcPr>
            <w:tcW w:w="1371" w:type="dxa"/>
            <w:gridSpan w:val="2"/>
            <w:vMerge w:val="continue"/>
            <w:vAlign w:val="center"/>
          </w:tcPr>
          <w:p w14:paraId="511DCD68">
            <w:pPr>
              <w:wordWrap w:val="0"/>
              <w:spacing w:line="380" w:lineRule="atLeast"/>
              <w:jc w:val="center"/>
              <w:rPr>
                <w:szCs w:val="21"/>
              </w:rPr>
            </w:pPr>
          </w:p>
        </w:tc>
        <w:tc>
          <w:tcPr>
            <w:tcW w:w="992" w:type="dxa"/>
            <w:vMerge w:val="continue"/>
            <w:vAlign w:val="center"/>
          </w:tcPr>
          <w:p w14:paraId="7F5E0191">
            <w:pPr>
              <w:wordWrap w:val="0"/>
              <w:spacing w:line="380" w:lineRule="atLeast"/>
              <w:jc w:val="right"/>
              <w:rPr>
                <w:rFonts w:eastAsia="隶书"/>
                <w:b/>
                <w:szCs w:val="21"/>
              </w:rPr>
            </w:pPr>
          </w:p>
        </w:tc>
        <w:tc>
          <w:tcPr>
            <w:tcW w:w="1674" w:type="dxa"/>
            <w:vAlign w:val="center"/>
          </w:tcPr>
          <w:p w14:paraId="546F225E">
            <w:pPr>
              <w:wordWrap w:val="0"/>
              <w:ind w:firstLine="186" w:firstLineChars="89"/>
              <w:rPr>
                <w:szCs w:val="21"/>
              </w:rPr>
            </w:pPr>
            <w:r>
              <w:rPr>
                <w:szCs w:val="21"/>
              </w:rPr>
              <w:t>项目总工</w:t>
            </w:r>
          </w:p>
        </w:tc>
        <w:tc>
          <w:tcPr>
            <w:tcW w:w="743" w:type="dxa"/>
            <w:vAlign w:val="center"/>
          </w:tcPr>
          <w:p w14:paraId="46865261">
            <w:pPr>
              <w:wordWrap w:val="0"/>
              <w:jc w:val="right"/>
              <w:rPr>
                <w:szCs w:val="21"/>
                <w:u w:val="single"/>
              </w:rPr>
            </w:pPr>
            <w:r>
              <w:rPr>
                <w:rFonts w:hint="eastAsia"/>
                <w:szCs w:val="21"/>
                <w:u w:val="single"/>
              </w:rPr>
              <w:t>10</w:t>
            </w:r>
            <w:r>
              <w:rPr>
                <w:szCs w:val="21"/>
              </w:rPr>
              <w:t>分</w:t>
            </w:r>
          </w:p>
        </w:tc>
        <w:tc>
          <w:tcPr>
            <w:tcW w:w="2699" w:type="dxa"/>
            <w:vAlign w:val="center"/>
          </w:tcPr>
          <w:p w14:paraId="2A133219">
            <w:pPr>
              <w:wordWrap w:val="0"/>
              <w:rPr>
                <w:szCs w:val="21"/>
              </w:rPr>
            </w:pPr>
            <w:r>
              <w:rPr>
                <w:szCs w:val="21"/>
              </w:rPr>
              <w:t>满足资格审查强制性资格条件要求的，得10分；</w:t>
            </w:r>
          </w:p>
        </w:tc>
      </w:tr>
      <w:tr w14:paraId="1BD52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 w:hRule="atLeast"/>
        </w:trPr>
        <w:tc>
          <w:tcPr>
            <w:tcW w:w="1412" w:type="dxa"/>
            <w:vMerge w:val="restart"/>
            <w:vAlign w:val="center"/>
          </w:tcPr>
          <w:p w14:paraId="34EE0B7F">
            <w:pPr>
              <w:wordWrap w:val="0"/>
              <w:jc w:val="center"/>
              <w:rPr>
                <w:szCs w:val="21"/>
              </w:rPr>
            </w:pPr>
            <w:r>
              <w:rPr>
                <w:szCs w:val="21"/>
              </w:rPr>
              <w:t>2.2.2（3）</w:t>
            </w:r>
          </w:p>
        </w:tc>
        <w:tc>
          <w:tcPr>
            <w:tcW w:w="453" w:type="dxa"/>
            <w:vMerge w:val="restart"/>
            <w:vAlign w:val="center"/>
          </w:tcPr>
          <w:p w14:paraId="2B3BE6F9">
            <w:pPr>
              <w:wordWrap w:val="0"/>
              <w:jc w:val="center"/>
              <w:rPr>
                <w:szCs w:val="21"/>
              </w:rPr>
            </w:pPr>
            <w:r>
              <w:rPr>
                <w:szCs w:val="21"/>
              </w:rPr>
              <w:t>其他因素</w:t>
            </w:r>
          </w:p>
        </w:tc>
        <w:tc>
          <w:tcPr>
            <w:tcW w:w="918" w:type="dxa"/>
            <w:vAlign w:val="center"/>
          </w:tcPr>
          <w:p w14:paraId="34189E26">
            <w:pPr>
              <w:wordWrap w:val="0"/>
              <w:jc w:val="center"/>
              <w:rPr>
                <w:szCs w:val="21"/>
              </w:rPr>
            </w:pPr>
            <w:r>
              <w:rPr>
                <w:rFonts w:hint="eastAsia"/>
                <w:szCs w:val="21"/>
              </w:rPr>
              <w:t>企业业绩</w:t>
            </w:r>
          </w:p>
        </w:tc>
        <w:tc>
          <w:tcPr>
            <w:tcW w:w="992" w:type="dxa"/>
            <w:vAlign w:val="center"/>
          </w:tcPr>
          <w:p w14:paraId="2F77DA6B">
            <w:pPr>
              <w:wordWrap w:val="0"/>
              <w:jc w:val="right"/>
              <w:rPr>
                <w:szCs w:val="21"/>
              </w:rPr>
            </w:pPr>
            <w:r>
              <w:rPr>
                <w:rFonts w:hint="eastAsia"/>
                <w:szCs w:val="21"/>
                <w:u w:val="single"/>
              </w:rPr>
              <w:t>20</w:t>
            </w:r>
            <w:r>
              <w:rPr>
                <w:szCs w:val="21"/>
              </w:rPr>
              <w:t>分</w:t>
            </w:r>
          </w:p>
        </w:tc>
        <w:tc>
          <w:tcPr>
            <w:tcW w:w="1674" w:type="dxa"/>
            <w:vAlign w:val="center"/>
          </w:tcPr>
          <w:p w14:paraId="240300B5">
            <w:pPr>
              <w:wordWrap w:val="0"/>
              <w:jc w:val="center"/>
              <w:rPr>
                <w:szCs w:val="21"/>
              </w:rPr>
            </w:pPr>
            <w:r>
              <w:rPr>
                <w:rFonts w:hint="eastAsia"/>
                <w:szCs w:val="21"/>
              </w:rPr>
              <w:t>企业业绩</w:t>
            </w:r>
          </w:p>
        </w:tc>
        <w:tc>
          <w:tcPr>
            <w:tcW w:w="743" w:type="dxa"/>
            <w:vAlign w:val="center"/>
          </w:tcPr>
          <w:p w14:paraId="223EDE52">
            <w:pPr>
              <w:wordWrap w:val="0"/>
              <w:jc w:val="right"/>
              <w:rPr>
                <w:szCs w:val="21"/>
              </w:rPr>
            </w:pPr>
            <w:r>
              <w:rPr>
                <w:rFonts w:hint="eastAsia"/>
                <w:szCs w:val="21"/>
                <w:u w:val="single"/>
              </w:rPr>
              <w:t>20</w:t>
            </w:r>
            <w:r>
              <w:rPr>
                <w:szCs w:val="21"/>
              </w:rPr>
              <w:t>分</w:t>
            </w:r>
          </w:p>
        </w:tc>
        <w:tc>
          <w:tcPr>
            <w:tcW w:w="2699" w:type="dxa"/>
          </w:tcPr>
          <w:p w14:paraId="60E3BCF7">
            <w:pPr>
              <w:wordWrap w:val="0"/>
              <w:jc w:val="left"/>
              <w:rPr>
                <w:szCs w:val="21"/>
              </w:rPr>
            </w:pPr>
            <w:r>
              <w:rPr>
                <w:szCs w:val="21"/>
              </w:rPr>
              <w:t>满足资格审查强制性资格条件要求的，得</w:t>
            </w:r>
            <w:r>
              <w:rPr>
                <w:rFonts w:hint="eastAsia"/>
                <w:szCs w:val="21"/>
              </w:rPr>
              <w:t>20</w:t>
            </w:r>
            <w:r>
              <w:rPr>
                <w:szCs w:val="21"/>
              </w:rPr>
              <w:t>分；</w:t>
            </w:r>
          </w:p>
        </w:tc>
      </w:tr>
      <w:tr w14:paraId="30946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2" w:type="dxa"/>
            <w:vMerge w:val="continue"/>
            <w:vAlign w:val="center"/>
          </w:tcPr>
          <w:p w14:paraId="73E1E86F">
            <w:pPr>
              <w:wordWrap w:val="0"/>
              <w:jc w:val="center"/>
              <w:rPr>
                <w:rFonts w:eastAsia="隶书"/>
                <w:szCs w:val="21"/>
              </w:rPr>
            </w:pPr>
          </w:p>
        </w:tc>
        <w:tc>
          <w:tcPr>
            <w:tcW w:w="453" w:type="dxa"/>
            <w:vMerge w:val="continue"/>
            <w:vAlign w:val="center"/>
          </w:tcPr>
          <w:p w14:paraId="3C9ED64C">
            <w:pPr>
              <w:wordWrap w:val="0"/>
              <w:ind w:left="-105" w:leftChars="-50" w:right="-105" w:rightChars="-50"/>
              <w:jc w:val="center"/>
              <w:rPr>
                <w:rFonts w:eastAsia="隶书"/>
                <w:szCs w:val="21"/>
              </w:rPr>
            </w:pPr>
          </w:p>
        </w:tc>
        <w:tc>
          <w:tcPr>
            <w:tcW w:w="918" w:type="dxa"/>
            <w:vAlign w:val="center"/>
          </w:tcPr>
          <w:p w14:paraId="348FF1B5">
            <w:pPr>
              <w:wordWrap w:val="0"/>
              <w:ind w:left="-105" w:leftChars="-50" w:right="-105" w:rightChars="-50"/>
              <w:jc w:val="center"/>
              <w:rPr>
                <w:szCs w:val="21"/>
              </w:rPr>
            </w:pPr>
            <w:r>
              <w:rPr>
                <w:szCs w:val="21"/>
              </w:rPr>
              <w:t>履约信誉</w:t>
            </w:r>
          </w:p>
        </w:tc>
        <w:tc>
          <w:tcPr>
            <w:tcW w:w="992" w:type="dxa"/>
            <w:vAlign w:val="center"/>
          </w:tcPr>
          <w:p w14:paraId="11388D44">
            <w:pPr>
              <w:wordWrap w:val="0"/>
              <w:jc w:val="right"/>
              <w:rPr>
                <w:szCs w:val="21"/>
              </w:rPr>
            </w:pPr>
            <w:r>
              <w:rPr>
                <w:rFonts w:hint="eastAsia"/>
                <w:szCs w:val="21"/>
                <w:u w:val="single"/>
              </w:rPr>
              <w:t>20</w:t>
            </w:r>
            <w:r>
              <w:rPr>
                <w:szCs w:val="21"/>
              </w:rPr>
              <w:t>分</w:t>
            </w:r>
          </w:p>
        </w:tc>
        <w:tc>
          <w:tcPr>
            <w:tcW w:w="1674" w:type="dxa"/>
            <w:vAlign w:val="center"/>
          </w:tcPr>
          <w:p w14:paraId="41901B61"/>
          <w:p w14:paraId="5077427C">
            <w:pPr>
              <w:wordWrap w:val="0"/>
              <w:jc w:val="center"/>
              <w:rPr>
                <w:szCs w:val="21"/>
              </w:rPr>
            </w:pPr>
            <w:r>
              <w:rPr>
                <w:szCs w:val="21"/>
              </w:rPr>
              <w:t>信用评价</w:t>
            </w:r>
          </w:p>
        </w:tc>
        <w:tc>
          <w:tcPr>
            <w:tcW w:w="743" w:type="dxa"/>
            <w:vAlign w:val="center"/>
          </w:tcPr>
          <w:p w14:paraId="0A3E7E9E">
            <w:pPr>
              <w:wordWrap w:val="0"/>
              <w:rPr>
                <w:szCs w:val="21"/>
              </w:rPr>
            </w:pPr>
            <w:r>
              <w:rPr>
                <w:rFonts w:hint="eastAsia"/>
                <w:szCs w:val="21"/>
                <w:u w:val="single"/>
              </w:rPr>
              <w:t>20</w:t>
            </w:r>
            <w:r>
              <w:rPr>
                <w:szCs w:val="21"/>
              </w:rPr>
              <w:t>分</w:t>
            </w:r>
          </w:p>
        </w:tc>
        <w:tc>
          <w:tcPr>
            <w:tcW w:w="2699" w:type="dxa"/>
          </w:tcPr>
          <w:p w14:paraId="1A8C38A3">
            <w:pPr>
              <w:wordWrap w:val="0"/>
              <w:jc w:val="left"/>
              <w:rPr>
                <w:szCs w:val="21"/>
              </w:rPr>
            </w:pPr>
            <w:r>
              <w:rPr>
                <w:szCs w:val="21"/>
              </w:rPr>
              <w:t>根据</w:t>
            </w:r>
            <w:r>
              <w:rPr>
                <w:rFonts w:hint="eastAsia"/>
                <w:szCs w:val="21"/>
                <w:lang w:val="en-US" w:eastAsia="zh-CN"/>
              </w:rPr>
              <w:t>2025</w:t>
            </w:r>
            <w:r>
              <w:rPr>
                <w:rFonts w:hint="eastAsia"/>
                <w:szCs w:val="21"/>
              </w:rPr>
              <w:t>年度</w:t>
            </w:r>
            <w:r>
              <w:rPr>
                <w:szCs w:val="21"/>
              </w:rPr>
              <w:t>投标人信用评价结果评分</w:t>
            </w:r>
            <w:r>
              <w:rPr>
                <w:rFonts w:hint="eastAsia"/>
                <w:szCs w:val="21"/>
              </w:rPr>
              <w:t>，</w:t>
            </w:r>
            <w:r>
              <w:rPr>
                <w:szCs w:val="21"/>
              </w:rPr>
              <w:t>AA级的得</w:t>
            </w:r>
            <w:r>
              <w:rPr>
                <w:rFonts w:hint="eastAsia"/>
                <w:szCs w:val="21"/>
              </w:rPr>
              <w:t>20</w:t>
            </w:r>
            <w:r>
              <w:rPr>
                <w:szCs w:val="21"/>
              </w:rPr>
              <w:t>分，A级的得</w:t>
            </w:r>
            <w:r>
              <w:rPr>
                <w:rFonts w:hint="eastAsia"/>
                <w:szCs w:val="21"/>
              </w:rPr>
              <w:t>18</w:t>
            </w:r>
            <w:r>
              <w:rPr>
                <w:szCs w:val="21"/>
              </w:rPr>
              <w:t>分，B级的得</w:t>
            </w:r>
            <w:r>
              <w:rPr>
                <w:rFonts w:hint="eastAsia"/>
                <w:szCs w:val="21"/>
              </w:rPr>
              <w:t>15</w:t>
            </w:r>
            <w:r>
              <w:rPr>
                <w:szCs w:val="21"/>
              </w:rPr>
              <w:t>分，C级的得</w:t>
            </w:r>
            <w:r>
              <w:rPr>
                <w:rFonts w:hint="eastAsia"/>
                <w:szCs w:val="21"/>
              </w:rPr>
              <w:t>10</w:t>
            </w:r>
            <w:r>
              <w:rPr>
                <w:szCs w:val="21"/>
              </w:rPr>
              <w:t>分</w:t>
            </w:r>
            <w:r>
              <w:rPr>
                <w:rFonts w:hint="eastAsia"/>
                <w:szCs w:val="21"/>
                <w:lang w:eastAsia="zh-CN"/>
              </w:rPr>
              <w:t>，D级信用等级0分</w:t>
            </w:r>
            <w:r>
              <w:rPr>
                <w:szCs w:val="21"/>
              </w:rPr>
              <w:t>。</w:t>
            </w:r>
          </w:p>
          <w:p w14:paraId="10657266">
            <w:pPr>
              <w:wordWrap w:val="0"/>
              <w:jc w:val="left"/>
              <w:rPr>
                <w:szCs w:val="21"/>
              </w:rPr>
            </w:pPr>
            <w:r>
              <w:rPr>
                <w:szCs w:val="21"/>
              </w:rPr>
              <w:t>注：（1）信用评价结果：以投标截止时间前，交通运输主管部门最新发布的结果公告（非结果公示）为准。</w:t>
            </w:r>
          </w:p>
          <w:p w14:paraId="1EE27AD7">
            <w:pPr>
              <w:wordWrap w:val="0"/>
              <w:jc w:val="left"/>
              <w:rPr>
                <w:szCs w:val="21"/>
              </w:rPr>
            </w:pPr>
            <w:r>
              <w:rPr>
                <w:szCs w:val="21"/>
              </w:rPr>
              <w:t>（2）企业具备有效的辽宁省公路施工企业信用评价等级时，投标按其认定；不具备时，投标信用评价等级按照以下原则认定：①具有全国综合信用评价等级的，按照全国综合信用评价等级认定。②无全国综合信用评价等级的，按照企业注册地省级信用评价等级认定。③无全国综合信用评价等级和注册地省级信用评价等级的，根据</w:t>
            </w:r>
            <w:r>
              <w:rPr>
                <w:rFonts w:hint="eastAsia" w:cs="宋体"/>
                <w:szCs w:val="21"/>
              </w:rPr>
              <w:t>“</w:t>
            </w:r>
            <w:r>
              <w:rPr>
                <w:szCs w:val="21"/>
              </w:rPr>
              <w:t>全国公路建设市场信用信息管理系统</w:t>
            </w:r>
            <w:r>
              <w:rPr>
                <w:rFonts w:hint="eastAsia" w:cs="宋体"/>
                <w:szCs w:val="21"/>
              </w:rPr>
              <w:t>”</w:t>
            </w:r>
            <w:r>
              <w:rPr>
                <w:szCs w:val="21"/>
              </w:rPr>
              <w:t>查询结果，无不良行为记录的按A级认定，有不良行为记录但超过三年（自然年，下同）的按B级认定，三年内有不良行为记录的按C级认定。</w:t>
            </w:r>
          </w:p>
          <w:p w14:paraId="718F3E07">
            <w:pPr>
              <w:wordWrap w:val="0"/>
              <w:jc w:val="left"/>
              <w:rPr>
                <w:szCs w:val="21"/>
              </w:rPr>
            </w:pPr>
            <w:r>
              <w:rPr>
                <w:szCs w:val="21"/>
              </w:rPr>
              <w:t>（3）投标人无辽宁省公路工程施工企业信用评价等级，且无全国综合信用评价等级的，须提供主管部门官方网站公布的结果公告、以及体现投标人评定等级的文件作为证明材料，评标委员会进行复核</w:t>
            </w:r>
            <w:r>
              <w:rPr>
                <w:rFonts w:hint="eastAsia"/>
                <w:szCs w:val="21"/>
              </w:rPr>
              <w:t>。</w:t>
            </w:r>
          </w:p>
          <w:p w14:paraId="1F4B8E07">
            <w:pPr>
              <w:wordWrap w:val="0"/>
              <w:jc w:val="center"/>
              <w:rPr>
                <w:szCs w:val="21"/>
              </w:rPr>
            </w:pPr>
            <w:r>
              <w:rPr>
                <w:rFonts w:hint="eastAsia"/>
                <w:szCs w:val="21"/>
              </w:rPr>
              <w:t>（4）</w:t>
            </w:r>
            <w:r>
              <w:rPr>
                <w:szCs w:val="21"/>
              </w:rPr>
              <w:t>联合体投标的，按照联合体成员企业中信用评价等级最低的认定联合体信用评价等级。</w:t>
            </w:r>
          </w:p>
        </w:tc>
      </w:tr>
      <w:tr w14:paraId="06EDA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2" w:type="dxa"/>
            <w:vAlign w:val="center"/>
          </w:tcPr>
          <w:p w14:paraId="47AEB8BA">
            <w:pPr>
              <w:wordWrap w:val="0"/>
              <w:jc w:val="center"/>
              <w:rPr>
                <w:rFonts w:eastAsia="隶书"/>
                <w:szCs w:val="21"/>
              </w:rPr>
            </w:pPr>
            <w:r>
              <w:rPr>
                <w:szCs w:val="21"/>
              </w:rPr>
              <w:t>2.2.2（</w:t>
            </w:r>
            <w:r>
              <w:rPr>
                <w:rFonts w:hint="eastAsia"/>
                <w:szCs w:val="21"/>
              </w:rPr>
              <w:t>4</w:t>
            </w:r>
            <w:r>
              <w:rPr>
                <w:szCs w:val="21"/>
              </w:rPr>
              <w:t>）</w:t>
            </w:r>
          </w:p>
        </w:tc>
        <w:tc>
          <w:tcPr>
            <w:tcW w:w="1371" w:type="dxa"/>
            <w:gridSpan w:val="2"/>
            <w:vAlign w:val="center"/>
          </w:tcPr>
          <w:p w14:paraId="14F1948F">
            <w:pPr>
              <w:wordWrap w:val="0"/>
              <w:jc w:val="center"/>
              <w:rPr>
                <w:szCs w:val="21"/>
              </w:rPr>
            </w:pPr>
            <w:r>
              <w:rPr>
                <w:szCs w:val="21"/>
              </w:rPr>
              <w:t>评标价</w:t>
            </w:r>
          </w:p>
        </w:tc>
        <w:tc>
          <w:tcPr>
            <w:tcW w:w="992" w:type="dxa"/>
            <w:vAlign w:val="center"/>
          </w:tcPr>
          <w:p w14:paraId="12DCF563">
            <w:pPr>
              <w:wordWrap w:val="0"/>
              <w:jc w:val="center"/>
              <w:rPr>
                <w:b/>
                <w:szCs w:val="21"/>
              </w:rPr>
            </w:pPr>
            <w:r>
              <w:rPr>
                <w:rFonts w:hint="eastAsia"/>
                <w:szCs w:val="21"/>
                <w:u w:val="single"/>
              </w:rPr>
              <w:t>100</w:t>
            </w:r>
            <w:r>
              <w:rPr>
                <w:szCs w:val="21"/>
              </w:rPr>
              <w:t>分</w:t>
            </w:r>
          </w:p>
        </w:tc>
        <w:tc>
          <w:tcPr>
            <w:tcW w:w="5116" w:type="dxa"/>
            <w:gridSpan w:val="3"/>
            <w:vAlign w:val="center"/>
          </w:tcPr>
          <w:p w14:paraId="41BE9CB9">
            <w:pPr>
              <w:rPr>
                <w:szCs w:val="21"/>
              </w:rPr>
            </w:pPr>
            <w:r>
              <w:rPr>
                <w:szCs w:val="21"/>
              </w:rPr>
              <w:t>评标价得分计算公式示例：</w:t>
            </w:r>
          </w:p>
          <w:p w14:paraId="488F432B">
            <w:pPr>
              <w:rPr>
                <w:szCs w:val="21"/>
              </w:rPr>
            </w:pPr>
            <w:r>
              <w:rPr>
                <w:szCs w:val="21"/>
              </w:rPr>
              <w:t>（1）如果投标人的评标价&gt;评标基准价，则评标价得分＝</w:t>
            </w:r>
            <w:r>
              <w:rPr>
                <w:rFonts w:hint="eastAsia"/>
                <w:szCs w:val="21"/>
              </w:rPr>
              <w:t>评标价满分</w:t>
            </w:r>
            <w:r>
              <w:rPr>
                <w:szCs w:val="21"/>
              </w:rPr>
              <w:t>－偏差率×100×</w:t>
            </w:r>
            <w:r>
              <w:rPr>
                <w:rFonts w:hint="eastAsia"/>
                <w:szCs w:val="21"/>
              </w:rPr>
              <w:t>2</w:t>
            </w:r>
            <w:r>
              <w:rPr>
                <w:szCs w:val="21"/>
              </w:rPr>
              <w:t>；</w:t>
            </w:r>
          </w:p>
          <w:p w14:paraId="3B1099EB">
            <w:pPr>
              <w:wordWrap w:val="0"/>
              <w:jc w:val="left"/>
              <w:rPr>
                <w:szCs w:val="21"/>
              </w:rPr>
            </w:pPr>
            <w:r>
              <w:rPr>
                <w:szCs w:val="21"/>
              </w:rPr>
              <w:t>（2）如果投标人的评标价≤评标基准价，则评标价得分＝</w:t>
            </w:r>
            <w:r>
              <w:rPr>
                <w:rFonts w:hint="eastAsia"/>
                <w:szCs w:val="21"/>
              </w:rPr>
              <w:t>评标价满分</w:t>
            </w:r>
            <w:r>
              <w:rPr>
                <w:szCs w:val="21"/>
              </w:rPr>
              <w:t>＋偏差率×100×</w:t>
            </w:r>
            <w:r>
              <w:rPr>
                <w:rFonts w:hint="eastAsia"/>
                <w:szCs w:val="21"/>
              </w:rPr>
              <w:t>1</w:t>
            </w:r>
            <w:r>
              <w:rPr>
                <w:szCs w:val="21"/>
              </w:rPr>
              <w:t>。</w:t>
            </w:r>
          </w:p>
        </w:tc>
      </w:tr>
      <w:tr w14:paraId="26F84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1" w:type="dxa"/>
            <w:gridSpan w:val="7"/>
            <w:vAlign w:val="center"/>
          </w:tcPr>
          <w:p w14:paraId="668411FC">
            <w:pPr>
              <w:wordWrap w:val="0"/>
              <w:spacing w:line="380" w:lineRule="atLeast"/>
              <w:rPr>
                <w:szCs w:val="21"/>
              </w:rPr>
            </w:pPr>
            <w:r>
              <w:rPr>
                <w:szCs w:val="21"/>
              </w:rPr>
              <w:t>需要补充的其他内容：</w:t>
            </w:r>
          </w:p>
          <w:p w14:paraId="73B2E0C9">
            <w:pPr>
              <w:wordWrap w:val="0"/>
              <w:spacing w:line="380" w:lineRule="atLeast"/>
              <w:rPr>
                <w:szCs w:val="21"/>
              </w:rPr>
            </w:pPr>
            <w:r>
              <w:rPr>
                <w:szCs w:val="21"/>
              </w:rPr>
              <w:t>评标办法</w:t>
            </w:r>
          </w:p>
          <w:p w14:paraId="306682F8">
            <w:pPr>
              <w:wordWrap w:val="0"/>
              <w:spacing w:line="380" w:lineRule="atLeast"/>
              <w:rPr>
                <w:szCs w:val="21"/>
              </w:rPr>
            </w:pPr>
            <w:r>
              <w:rPr>
                <w:szCs w:val="21"/>
              </w:rPr>
              <w:t>本条细化为：</w:t>
            </w:r>
          </w:p>
          <w:p w14:paraId="67BB38FC">
            <w:pPr>
              <w:wordWrap w:val="0"/>
              <w:spacing w:line="380" w:lineRule="atLeast"/>
              <w:rPr>
                <w:szCs w:val="21"/>
              </w:rPr>
            </w:pPr>
            <w:r>
              <w:rPr>
                <w:szCs w:val="21"/>
              </w:rPr>
              <w:t>1.1本次评标采用双信封形式技术评分合理低价法，评标委员会首先对第一个信封（商务与技术文件）进行初步评审。</w:t>
            </w:r>
          </w:p>
          <w:p w14:paraId="14861409">
            <w:pPr>
              <w:wordWrap w:val="0"/>
              <w:spacing w:line="380" w:lineRule="atLeast"/>
              <w:rPr>
                <w:szCs w:val="21"/>
              </w:rPr>
            </w:pPr>
            <w:r>
              <w:rPr>
                <w:szCs w:val="21"/>
              </w:rPr>
              <w:t>1.2评标委员会对通过投标文件第一个信封初步评审投标人的商务和技术文件进行评分，并按照投标人的商务和技术得分由高到低排序，排名在评标办法前附表规定数量以内的投标人，其投标文件通过第一个信封评审。各评分因素（履约信誉评分项除外）得分一般不得低于其权重分值的60%，且各评分因素（细分项）得分应以评标委员会各成员的打分平均值确定，评标委员会成员总数为7人（含7人）以上时，该平均值以去掉一个最高分和一个最低分后计算。评标委员会成员对某一项评分因素（细分项）的评分低于权重分值60%的，应在评标报告中作出说明。</w:t>
            </w:r>
          </w:p>
          <w:p w14:paraId="76BB53BD">
            <w:pPr>
              <w:wordWrap w:val="0"/>
              <w:spacing w:line="380" w:lineRule="atLeast"/>
              <w:rPr>
                <w:szCs w:val="21"/>
              </w:rPr>
            </w:pPr>
            <w:r>
              <w:rPr>
                <w:szCs w:val="21"/>
              </w:rPr>
              <w:t>1.3通过第一个信封评审后的投标文件方可进入第二个信封的开标。第二个信封的开标在监督人的监督下进行，未通过第一个信封评审的投标人不参与第二个信封的开标。</w:t>
            </w:r>
          </w:p>
          <w:p w14:paraId="0B887BE4">
            <w:pPr>
              <w:wordWrap w:val="0"/>
              <w:spacing w:line="380" w:lineRule="atLeast"/>
              <w:rPr>
                <w:szCs w:val="21"/>
                <w:highlight w:val="none"/>
              </w:rPr>
            </w:pPr>
            <w:r>
              <w:rPr>
                <w:szCs w:val="21"/>
              </w:rPr>
              <w:t>1.</w:t>
            </w:r>
            <w:r>
              <w:rPr>
                <w:rFonts w:hint="eastAsia"/>
                <w:szCs w:val="21"/>
              </w:rPr>
              <w:t>4</w:t>
            </w:r>
            <w:r>
              <w:rPr>
                <w:szCs w:val="21"/>
              </w:rPr>
              <w:t>评标委员会对第二个信封进行初步评审，对通过第二个信封初步评审的投标人，按照本章第</w:t>
            </w:r>
            <w:r>
              <w:rPr>
                <w:szCs w:val="21"/>
                <w:highlight w:val="none"/>
              </w:rPr>
              <w:t>2.2款规定的评分标准进行评分，然后按评标价得分由高到低顺序确定中标候选人推荐次序，但投标报价低于其成本的除外。</w:t>
            </w:r>
          </w:p>
          <w:p w14:paraId="0E05819E">
            <w:pPr>
              <w:wordWrap w:val="0"/>
              <w:spacing w:line="380" w:lineRule="atLeast"/>
              <w:rPr>
                <w:szCs w:val="21"/>
              </w:rPr>
            </w:pPr>
            <w:r>
              <w:rPr>
                <w:szCs w:val="21"/>
                <w:highlight w:val="none"/>
              </w:rPr>
              <w:t>当两家及以上投标人在标段中的评</w:t>
            </w:r>
            <w:r>
              <w:rPr>
                <w:szCs w:val="21"/>
              </w:rPr>
              <w:t>标价得分相等时，若评标价不相等，以评标价较低者优先。</w:t>
            </w:r>
          </w:p>
          <w:p w14:paraId="044A4F30">
            <w:pPr>
              <w:wordWrap w:val="0"/>
              <w:spacing w:line="380" w:lineRule="atLeast"/>
              <w:rPr>
                <w:szCs w:val="21"/>
              </w:rPr>
            </w:pPr>
            <w:r>
              <w:rPr>
                <w:szCs w:val="21"/>
              </w:rPr>
              <w:t>当两家及以上投标人在标段中的评标价得分相等且评标价相等时，推荐顺序则</w:t>
            </w:r>
            <w:r>
              <w:rPr>
                <w:rFonts w:hint="eastAsia"/>
                <w:szCs w:val="21"/>
              </w:rPr>
              <w:t>按评标办法前附表要求</w:t>
            </w:r>
            <w:r>
              <w:rPr>
                <w:szCs w:val="21"/>
              </w:rPr>
              <w:t>依次推荐中标候选人或确定中标人。</w:t>
            </w:r>
          </w:p>
          <w:p w14:paraId="31CC8E2C">
            <w:pPr>
              <w:wordWrap w:val="0"/>
              <w:spacing w:line="380" w:lineRule="atLeast"/>
              <w:rPr>
                <w:szCs w:val="21"/>
              </w:rPr>
            </w:pPr>
            <w:r>
              <w:rPr>
                <w:szCs w:val="21"/>
              </w:rPr>
              <w:t>1.</w:t>
            </w:r>
            <w:r>
              <w:rPr>
                <w:rFonts w:hint="eastAsia"/>
                <w:szCs w:val="21"/>
              </w:rPr>
              <w:t>5</w:t>
            </w:r>
            <w:r>
              <w:rPr>
                <w:szCs w:val="21"/>
              </w:rPr>
              <w:t>某一标段通过第一个信封评审且参与第二个信封开标的投标人在3个及以上的，招标人将按规定的程序进行第二个信封开标；在对第二个信封进行评审后，有效投标不足3个使得投标明显缺乏竞争的，评标委员会可以否决这一标段的全部投标。评标委员会未否决全部投标的，应当在评标报告中阐明理由并推荐这一标段中标候选人。</w:t>
            </w:r>
          </w:p>
          <w:p w14:paraId="6573CFD0">
            <w:pPr>
              <w:wordWrap w:val="0"/>
              <w:spacing w:line="380" w:lineRule="atLeast"/>
              <w:rPr>
                <w:rFonts w:hint="eastAsia"/>
                <w:szCs w:val="21"/>
              </w:rPr>
            </w:pPr>
            <w:r>
              <w:rPr>
                <w:rFonts w:hint="eastAsia"/>
                <w:szCs w:val="21"/>
              </w:rPr>
              <w:t>1.6G=90</w:t>
            </w:r>
          </w:p>
          <w:p w14:paraId="4BB97943">
            <w:pPr>
              <w:spacing w:line="400" w:lineRule="exact"/>
              <w:ind w:right="118" w:rightChars="56"/>
              <w:rPr>
                <w:color w:val="auto"/>
                <w:sz w:val="22"/>
                <w:szCs w:val="22"/>
                <w:highlight w:val="none"/>
              </w:rPr>
            </w:pPr>
            <w:r>
              <w:rPr>
                <w:rFonts w:hint="eastAsia"/>
                <w:szCs w:val="21"/>
                <w:lang w:val="en-US" w:eastAsia="zh-CN"/>
              </w:rPr>
              <w:t>2.</w:t>
            </w:r>
            <w:r>
              <w:rPr>
                <w:color w:val="auto"/>
                <w:sz w:val="22"/>
                <w:szCs w:val="22"/>
                <w:highlight w:val="none"/>
              </w:rPr>
              <w:t>废标条款：</w:t>
            </w:r>
          </w:p>
          <w:p w14:paraId="2AC381A2">
            <w:pPr>
              <w:spacing w:line="400" w:lineRule="exact"/>
              <w:ind w:left="55" w:leftChars="26" w:right="118" w:rightChars="56" w:firstLine="440" w:firstLineChars="200"/>
              <w:rPr>
                <w:color w:val="auto"/>
                <w:sz w:val="22"/>
                <w:szCs w:val="22"/>
                <w:highlight w:val="none"/>
              </w:rPr>
            </w:pPr>
            <w:r>
              <w:rPr>
                <w:color w:val="auto"/>
                <w:sz w:val="22"/>
                <w:szCs w:val="22"/>
                <w:highlight w:val="none"/>
              </w:rPr>
              <w:t>（1）在形式评审与响应性评审、资格评审中，评标委员会认定投标人的投标不符合评标办法前附表中规定的任何一项评审标准的；</w:t>
            </w:r>
          </w:p>
          <w:p w14:paraId="5B09D05E">
            <w:pPr>
              <w:spacing w:line="400" w:lineRule="exact"/>
              <w:ind w:left="55" w:leftChars="26" w:right="118" w:rightChars="56" w:firstLine="440" w:firstLineChars="200"/>
              <w:rPr>
                <w:color w:val="auto"/>
                <w:sz w:val="22"/>
                <w:szCs w:val="22"/>
                <w:highlight w:val="none"/>
              </w:rPr>
            </w:pPr>
            <w:r>
              <w:rPr>
                <w:color w:val="auto"/>
                <w:sz w:val="22"/>
                <w:szCs w:val="22"/>
                <w:highlight w:val="none"/>
              </w:rPr>
              <w:t>（2）评标委员会认定投标人以低于成本报价竞标的；</w:t>
            </w:r>
          </w:p>
          <w:p w14:paraId="1157CADA">
            <w:pPr>
              <w:spacing w:line="400" w:lineRule="exact"/>
              <w:ind w:left="55" w:leftChars="26" w:right="118" w:rightChars="56" w:firstLine="440" w:firstLineChars="200"/>
              <w:rPr>
                <w:color w:val="auto"/>
                <w:sz w:val="22"/>
                <w:szCs w:val="22"/>
                <w:highlight w:val="none"/>
              </w:rPr>
            </w:pPr>
            <w:r>
              <w:rPr>
                <w:color w:val="auto"/>
                <w:sz w:val="22"/>
                <w:szCs w:val="22"/>
                <w:highlight w:val="none"/>
              </w:rPr>
              <w:t>（3）与其他投标人的投标文件分部、分项报价错漏一致，且没有合理解释的；</w:t>
            </w:r>
          </w:p>
          <w:p w14:paraId="23F4ACF3">
            <w:pPr>
              <w:spacing w:line="400" w:lineRule="exact"/>
              <w:ind w:left="55" w:leftChars="26" w:right="118" w:rightChars="56" w:firstLine="440" w:firstLineChars="200"/>
              <w:rPr>
                <w:color w:val="auto"/>
                <w:sz w:val="22"/>
                <w:szCs w:val="22"/>
                <w:highlight w:val="none"/>
              </w:rPr>
            </w:pPr>
            <w:r>
              <w:rPr>
                <w:color w:val="auto"/>
                <w:sz w:val="22"/>
                <w:szCs w:val="22"/>
                <w:highlight w:val="none"/>
              </w:rPr>
              <w:t>（4）与其他投标人的投标文件载明的项目管理班子成员出现重复的；</w:t>
            </w:r>
          </w:p>
          <w:p w14:paraId="37467A3B">
            <w:pPr>
              <w:spacing w:line="400" w:lineRule="exact"/>
              <w:ind w:left="55" w:leftChars="26" w:right="118" w:rightChars="56" w:firstLine="440" w:firstLineChars="200"/>
              <w:rPr>
                <w:color w:val="auto"/>
                <w:sz w:val="22"/>
                <w:szCs w:val="22"/>
                <w:highlight w:val="none"/>
              </w:rPr>
            </w:pPr>
            <w:r>
              <w:rPr>
                <w:color w:val="auto"/>
                <w:sz w:val="22"/>
                <w:szCs w:val="22"/>
                <w:highlight w:val="none"/>
              </w:rPr>
              <w:t>（5）不同投标人使用同一个人或者同一企业资金交纳投标保证金的；</w:t>
            </w:r>
          </w:p>
          <w:p w14:paraId="350A4298">
            <w:pPr>
              <w:spacing w:line="400" w:lineRule="exact"/>
              <w:ind w:left="55" w:leftChars="26" w:right="118" w:rightChars="56" w:firstLine="440" w:firstLineChars="200"/>
              <w:rPr>
                <w:color w:val="auto"/>
                <w:sz w:val="22"/>
                <w:szCs w:val="22"/>
                <w:highlight w:val="none"/>
              </w:rPr>
            </w:pPr>
            <w:r>
              <w:rPr>
                <w:color w:val="auto"/>
                <w:sz w:val="22"/>
                <w:szCs w:val="22"/>
                <w:highlight w:val="none"/>
              </w:rPr>
              <w:t>（6）不同投标人聘请同一人为其投标提供技术或者经济咨询服务的；</w:t>
            </w:r>
          </w:p>
          <w:p w14:paraId="268B99DB">
            <w:pPr>
              <w:spacing w:line="400" w:lineRule="exact"/>
              <w:ind w:left="55" w:leftChars="26" w:right="118" w:rightChars="56" w:firstLine="440" w:firstLineChars="200"/>
              <w:rPr>
                <w:color w:val="auto"/>
                <w:sz w:val="22"/>
                <w:szCs w:val="22"/>
                <w:highlight w:val="none"/>
              </w:rPr>
            </w:pPr>
            <w:r>
              <w:rPr>
                <w:color w:val="auto"/>
                <w:sz w:val="22"/>
                <w:szCs w:val="22"/>
                <w:highlight w:val="none"/>
              </w:rPr>
              <w:t>（7）与其他投标人的投标文件存在不应有的雷同；</w:t>
            </w:r>
          </w:p>
          <w:p w14:paraId="2F11A56C">
            <w:pPr>
              <w:spacing w:line="400" w:lineRule="exact"/>
              <w:ind w:left="55" w:leftChars="26" w:right="118" w:rightChars="56" w:firstLine="440" w:firstLineChars="200"/>
              <w:rPr>
                <w:color w:val="auto"/>
                <w:sz w:val="22"/>
                <w:szCs w:val="22"/>
                <w:highlight w:val="none"/>
              </w:rPr>
            </w:pPr>
            <w:r>
              <w:rPr>
                <w:color w:val="auto"/>
                <w:sz w:val="22"/>
                <w:szCs w:val="22"/>
                <w:highlight w:val="none"/>
              </w:rPr>
              <w:t>（8）其他情况能够证明有陪标行为的；</w:t>
            </w:r>
          </w:p>
          <w:p w14:paraId="1AADAE6C">
            <w:pPr>
              <w:spacing w:line="400" w:lineRule="exact"/>
              <w:ind w:left="55" w:leftChars="26" w:right="118" w:rightChars="56" w:firstLine="440" w:firstLineChars="200"/>
              <w:rPr>
                <w:color w:val="auto"/>
                <w:sz w:val="22"/>
                <w:szCs w:val="22"/>
                <w:highlight w:val="none"/>
              </w:rPr>
            </w:pPr>
            <w:r>
              <w:rPr>
                <w:color w:val="auto"/>
                <w:sz w:val="22"/>
                <w:szCs w:val="22"/>
                <w:highlight w:val="none"/>
              </w:rPr>
              <w:t>（9）有串通投标或弄虚作假或有其他违法行为的；</w:t>
            </w:r>
          </w:p>
          <w:p w14:paraId="1A5C3394">
            <w:pPr>
              <w:spacing w:line="400" w:lineRule="exact"/>
              <w:ind w:left="55" w:leftChars="26" w:right="118" w:rightChars="56" w:firstLine="440" w:firstLineChars="200"/>
              <w:rPr>
                <w:color w:val="auto"/>
                <w:sz w:val="22"/>
                <w:szCs w:val="22"/>
                <w:highlight w:val="none"/>
              </w:rPr>
            </w:pPr>
            <w:r>
              <w:rPr>
                <w:color w:val="auto"/>
                <w:sz w:val="22"/>
                <w:szCs w:val="22"/>
                <w:highlight w:val="none"/>
              </w:rPr>
              <w:t>（10）投标人不按评标委员会要求澄清、说明或补正的；</w:t>
            </w:r>
          </w:p>
          <w:p w14:paraId="0E38A5C8">
            <w:pPr>
              <w:spacing w:line="400" w:lineRule="exact"/>
              <w:ind w:left="55" w:leftChars="26" w:right="118" w:rightChars="56" w:firstLine="440" w:firstLineChars="200"/>
              <w:rPr>
                <w:color w:val="auto"/>
                <w:sz w:val="22"/>
                <w:szCs w:val="22"/>
                <w:highlight w:val="none"/>
              </w:rPr>
            </w:pPr>
            <w:r>
              <w:rPr>
                <w:color w:val="auto"/>
                <w:sz w:val="22"/>
                <w:szCs w:val="22"/>
                <w:highlight w:val="none"/>
              </w:rPr>
              <w:t>（11）不同投标人的投标报价或者报价组成异常一致或者呈规律性变化的；</w:t>
            </w:r>
          </w:p>
          <w:p w14:paraId="3E97E268">
            <w:pPr>
              <w:spacing w:line="400" w:lineRule="exact"/>
              <w:ind w:left="55" w:leftChars="26" w:right="118" w:rightChars="56" w:firstLine="440" w:firstLineChars="200"/>
              <w:rPr>
                <w:color w:val="auto"/>
                <w:sz w:val="22"/>
                <w:szCs w:val="22"/>
                <w:highlight w:val="none"/>
              </w:rPr>
            </w:pPr>
            <w:r>
              <w:rPr>
                <w:color w:val="auto"/>
                <w:sz w:val="22"/>
                <w:szCs w:val="22"/>
                <w:highlight w:val="none"/>
              </w:rPr>
              <w:t>（12）投标文件附有招标人不能接受的条件；</w:t>
            </w:r>
          </w:p>
          <w:p w14:paraId="5AACBD85">
            <w:pPr>
              <w:wordWrap w:val="0"/>
              <w:spacing w:line="380" w:lineRule="atLeast"/>
              <w:rPr>
                <w:rFonts w:hint="default" w:eastAsia="宋体"/>
                <w:szCs w:val="21"/>
                <w:lang w:val="en-US" w:eastAsia="zh-CN"/>
              </w:rPr>
            </w:pPr>
            <w:r>
              <w:rPr>
                <w:color w:val="auto"/>
                <w:sz w:val="22"/>
                <w:szCs w:val="22"/>
                <w:highlight w:val="none"/>
              </w:rPr>
              <w:t>（13）不符合招标文件中规定的其他实质性要求的。</w:t>
            </w:r>
          </w:p>
          <w:p w14:paraId="1C7B09E0">
            <w:pPr>
              <w:wordWrap w:val="0"/>
              <w:spacing w:line="380" w:lineRule="atLeast"/>
              <w:rPr>
                <w:rFonts w:hint="eastAsia"/>
                <w:szCs w:val="21"/>
              </w:rPr>
            </w:pPr>
          </w:p>
        </w:tc>
      </w:tr>
    </w:tbl>
    <w:p w14:paraId="1E0E1CC5">
      <w:pPr>
        <w:pStyle w:val="3"/>
        <w:wordWrap w:val="0"/>
        <w:rPr>
          <w:sz w:val="28"/>
          <w:szCs w:val="28"/>
        </w:rPr>
      </w:pPr>
      <w:r>
        <w:rPr>
          <w:sz w:val="27"/>
          <w:szCs w:val="27"/>
        </w:rPr>
        <w:br w:type="page"/>
      </w:r>
      <w:bookmarkStart w:id="1" w:name="_Toc9831"/>
      <w:r>
        <w:rPr>
          <w:sz w:val="28"/>
          <w:szCs w:val="28"/>
        </w:rPr>
        <w:t>1.评标方法</w:t>
      </w:r>
      <w:bookmarkEnd w:id="1"/>
    </w:p>
    <w:p w14:paraId="1E7276CD">
      <w:pPr>
        <w:wordWrap w:val="0"/>
        <w:spacing w:line="400" w:lineRule="atLeast"/>
        <w:ind w:firstLine="480" w:firstLineChars="200"/>
        <w:rPr>
          <w:sz w:val="24"/>
        </w:rPr>
      </w:pPr>
      <w:r>
        <w:rPr>
          <w:sz w:val="24"/>
        </w:rPr>
        <w:t>本次评标采用技术评分</w:t>
      </w:r>
      <w:r>
        <w:rPr>
          <w:rFonts w:hint="eastAsia"/>
          <w:sz w:val="24"/>
        </w:rPr>
        <w:t>合理</w:t>
      </w:r>
      <w:r>
        <w:rPr>
          <w:sz w:val="24"/>
        </w:rPr>
        <w:t>低标价法。评标委员会对满足招标文件实质性要求的</w:t>
      </w:r>
      <w:r>
        <w:rPr>
          <w:rFonts w:hint="eastAsia"/>
          <w:sz w:val="24"/>
        </w:rPr>
        <w:t>第一信</w:t>
      </w:r>
      <w:r>
        <w:rPr>
          <w:sz w:val="24"/>
        </w:rPr>
        <w:t>封商务及技术文件的施工组织设计、主要人员、技术能力</w:t>
      </w:r>
      <w:r>
        <w:rPr>
          <w:rFonts w:hint="eastAsia"/>
          <w:sz w:val="24"/>
        </w:rPr>
        <w:t>、履约信誉</w:t>
      </w:r>
      <w:r>
        <w:rPr>
          <w:sz w:val="24"/>
        </w:rPr>
        <w:t>等因素进行评分，按照得分由高到低排序，对排名在招标文件规定数量以内的投标人的报价文件进行评审</w:t>
      </w:r>
      <w:r>
        <w:rPr>
          <w:rFonts w:hint="eastAsia"/>
          <w:sz w:val="24"/>
        </w:rPr>
        <w:t>，按照评标价得分</w:t>
      </w:r>
      <w:r>
        <w:rPr>
          <w:sz w:val="24"/>
        </w:rPr>
        <w:t>由</w:t>
      </w:r>
      <w:r>
        <w:rPr>
          <w:rFonts w:hint="eastAsia"/>
          <w:sz w:val="24"/>
        </w:rPr>
        <w:t>高</w:t>
      </w:r>
      <w:r>
        <w:rPr>
          <w:sz w:val="24"/>
        </w:rPr>
        <w:t>到</w:t>
      </w:r>
      <w:r>
        <w:rPr>
          <w:rFonts w:hint="eastAsia"/>
          <w:sz w:val="24"/>
        </w:rPr>
        <w:t>低</w:t>
      </w:r>
      <w:r>
        <w:rPr>
          <w:sz w:val="24"/>
        </w:rPr>
        <w:t>的顺序推荐中标候选人，或根据招标人授权直接确定中标人，但投标报价低于其成本的除外。评标价相等时，评标委员会应按照评标办法前附表规定的优先次序推荐中标候选人或确定中标人。</w:t>
      </w:r>
    </w:p>
    <w:p w14:paraId="28446A05">
      <w:pPr>
        <w:pStyle w:val="3"/>
        <w:wordWrap w:val="0"/>
        <w:spacing w:before="360"/>
        <w:rPr>
          <w:sz w:val="28"/>
          <w:szCs w:val="28"/>
        </w:rPr>
      </w:pPr>
      <w:bookmarkStart w:id="2" w:name="_Toc16937"/>
      <w:r>
        <w:rPr>
          <w:sz w:val="28"/>
          <w:szCs w:val="28"/>
        </w:rPr>
        <w:t>2.评审标准</w:t>
      </w:r>
      <w:bookmarkEnd w:id="2"/>
    </w:p>
    <w:p w14:paraId="63A40999">
      <w:pPr>
        <w:pStyle w:val="3"/>
        <w:wordWrap w:val="0"/>
        <w:rPr>
          <w:szCs w:val="24"/>
        </w:rPr>
      </w:pPr>
      <w:bookmarkStart w:id="3" w:name="_Toc31054"/>
      <w:r>
        <w:rPr>
          <w:szCs w:val="24"/>
        </w:rPr>
        <w:t>2.1初步评审标准</w:t>
      </w:r>
      <w:bookmarkEnd w:id="3"/>
    </w:p>
    <w:p w14:paraId="27110CDF">
      <w:pPr>
        <w:wordWrap w:val="0"/>
        <w:spacing w:line="400" w:lineRule="atLeast"/>
        <w:ind w:firstLine="480" w:firstLineChars="200"/>
        <w:rPr>
          <w:sz w:val="24"/>
        </w:rPr>
      </w:pPr>
      <w:r>
        <w:rPr>
          <w:sz w:val="24"/>
        </w:rPr>
        <w:t>2.1.1形式评审标准：见评标办法前附表。</w:t>
      </w:r>
    </w:p>
    <w:p w14:paraId="54279C21">
      <w:pPr>
        <w:wordWrap w:val="0"/>
        <w:spacing w:line="400" w:lineRule="atLeast"/>
        <w:ind w:firstLine="480" w:firstLineChars="200"/>
        <w:rPr>
          <w:sz w:val="24"/>
        </w:rPr>
      </w:pPr>
      <w:r>
        <w:rPr>
          <w:sz w:val="24"/>
        </w:rPr>
        <w:t>2.1.2资格评审标准：见评标办法前附表。</w:t>
      </w:r>
    </w:p>
    <w:p w14:paraId="0E9D8505">
      <w:pPr>
        <w:wordWrap w:val="0"/>
        <w:spacing w:line="400" w:lineRule="atLeast"/>
        <w:ind w:firstLine="480" w:firstLineChars="200"/>
        <w:rPr>
          <w:sz w:val="24"/>
        </w:rPr>
      </w:pPr>
      <w:r>
        <w:rPr>
          <w:sz w:val="24"/>
        </w:rPr>
        <w:t>2.1.3响应性评审标准：见评标办法前附表。</w:t>
      </w:r>
    </w:p>
    <w:p w14:paraId="4C04BAED">
      <w:pPr>
        <w:pStyle w:val="3"/>
        <w:wordWrap w:val="0"/>
        <w:rPr>
          <w:szCs w:val="24"/>
        </w:rPr>
      </w:pPr>
      <w:bookmarkStart w:id="4" w:name="_Toc6995"/>
      <w:r>
        <w:rPr>
          <w:szCs w:val="24"/>
        </w:rPr>
        <w:t>2.2分值构成与评分标准</w:t>
      </w:r>
      <w:bookmarkEnd w:id="4"/>
    </w:p>
    <w:p w14:paraId="6C83F315">
      <w:pPr>
        <w:tabs>
          <w:tab w:val="left" w:pos="360"/>
        </w:tabs>
        <w:wordWrap w:val="0"/>
        <w:spacing w:line="400" w:lineRule="atLeast"/>
        <w:ind w:firstLine="480" w:firstLineChars="200"/>
        <w:rPr>
          <w:sz w:val="24"/>
        </w:rPr>
      </w:pPr>
      <w:r>
        <w:rPr>
          <w:sz w:val="24"/>
        </w:rPr>
        <w:t>2.2.1</w:t>
      </w:r>
      <w:r>
        <w:rPr>
          <w:bCs/>
          <w:kern w:val="44"/>
          <w:sz w:val="24"/>
        </w:rPr>
        <w:t>第一个信封评分</w:t>
      </w:r>
      <w:r>
        <w:rPr>
          <w:sz w:val="24"/>
        </w:rPr>
        <w:t>分值构成</w:t>
      </w:r>
    </w:p>
    <w:p w14:paraId="1D11566E">
      <w:pPr>
        <w:wordWrap w:val="0"/>
        <w:spacing w:line="400" w:lineRule="atLeast"/>
        <w:ind w:firstLine="480" w:firstLineChars="200"/>
        <w:rPr>
          <w:sz w:val="24"/>
        </w:rPr>
      </w:pPr>
      <w:r>
        <w:rPr>
          <w:sz w:val="24"/>
        </w:rPr>
        <w:t>（1）施工组织设计：见评标办法前附表；</w:t>
      </w:r>
    </w:p>
    <w:p w14:paraId="3D2D7FB8">
      <w:pPr>
        <w:wordWrap w:val="0"/>
        <w:spacing w:line="400" w:lineRule="atLeast"/>
        <w:ind w:firstLine="480" w:firstLineChars="200"/>
        <w:rPr>
          <w:sz w:val="24"/>
        </w:rPr>
      </w:pPr>
      <w:r>
        <w:rPr>
          <w:sz w:val="24"/>
        </w:rPr>
        <w:t>（2）主要人员：见评标办法前附表；</w:t>
      </w:r>
    </w:p>
    <w:p w14:paraId="158993CF">
      <w:pPr>
        <w:wordWrap w:val="0"/>
        <w:spacing w:line="400" w:lineRule="atLeast"/>
        <w:ind w:firstLine="480" w:firstLineChars="200"/>
        <w:rPr>
          <w:sz w:val="24"/>
        </w:rPr>
      </w:pPr>
      <w:r>
        <w:rPr>
          <w:sz w:val="24"/>
        </w:rPr>
        <w:t>（3）其他评分因素：见评标办法前附表。</w:t>
      </w:r>
    </w:p>
    <w:p w14:paraId="59F81722">
      <w:pPr>
        <w:wordWrap w:val="0"/>
        <w:spacing w:line="400" w:lineRule="atLeast"/>
        <w:ind w:firstLine="480" w:firstLineChars="200"/>
        <w:rPr>
          <w:sz w:val="24"/>
        </w:rPr>
      </w:pPr>
      <w:r>
        <w:rPr>
          <w:sz w:val="24"/>
        </w:rPr>
        <w:t>2.2.2</w:t>
      </w:r>
      <w:r>
        <w:rPr>
          <w:bCs/>
          <w:kern w:val="44"/>
          <w:sz w:val="24"/>
        </w:rPr>
        <w:t>第一个信封评分</w:t>
      </w:r>
      <w:r>
        <w:rPr>
          <w:sz w:val="24"/>
        </w:rPr>
        <w:t>评分标准</w:t>
      </w:r>
    </w:p>
    <w:p w14:paraId="1D9C5044">
      <w:pPr>
        <w:wordWrap w:val="0"/>
        <w:spacing w:line="400" w:lineRule="atLeast"/>
        <w:ind w:firstLine="480" w:firstLineChars="200"/>
        <w:rPr>
          <w:sz w:val="24"/>
        </w:rPr>
      </w:pPr>
      <w:r>
        <w:rPr>
          <w:sz w:val="24"/>
        </w:rPr>
        <w:t>（1）施工组织设计评分标准：见评标办法前附表；</w:t>
      </w:r>
    </w:p>
    <w:p w14:paraId="10BFFD2C">
      <w:pPr>
        <w:wordWrap w:val="0"/>
        <w:spacing w:line="400" w:lineRule="atLeast"/>
        <w:ind w:firstLine="480" w:firstLineChars="200"/>
        <w:rPr>
          <w:sz w:val="24"/>
        </w:rPr>
      </w:pPr>
      <w:r>
        <w:rPr>
          <w:sz w:val="24"/>
        </w:rPr>
        <w:t>（2）主要人员评分标准：见评标办法前附表；</w:t>
      </w:r>
    </w:p>
    <w:p w14:paraId="30604ADD">
      <w:pPr>
        <w:wordWrap w:val="0"/>
        <w:spacing w:line="400" w:lineRule="atLeast"/>
        <w:ind w:firstLine="480" w:firstLineChars="200"/>
        <w:rPr>
          <w:sz w:val="24"/>
        </w:rPr>
      </w:pPr>
      <w:r>
        <w:rPr>
          <w:sz w:val="24"/>
        </w:rPr>
        <w:t>（3）其他因素评分标准：见评标办法前附表。</w:t>
      </w:r>
    </w:p>
    <w:p w14:paraId="7924DDDE">
      <w:pPr>
        <w:wordWrap w:val="0"/>
        <w:spacing w:line="400" w:lineRule="atLeast"/>
        <w:ind w:firstLine="480" w:firstLineChars="200"/>
        <w:rPr>
          <w:sz w:val="24"/>
        </w:rPr>
      </w:pPr>
      <w:r>
        <w:rPr>
          <w:sz w:val="24"/>
        </w:rPr>
        <w:t>2.2.3第二个信封评分分值构成及详细评审标准：见评标办法前附表</w:t>
      </w:r>
      <w:r>
        <w:rPr>
          <w:rFonts w:hint="eastAsia"/>
          <w:sz w:val="24"/>
        </w:rPr>
        <w:t>。</w:t>
      </w:r>
    </w:p>
    <w:p w14:paraId="166088D5">
      <w:pPr>
        <w:wordWrap w:val="0"/>
        <w:spacing w:line="400" w:lineRule="atLeast"/>
        <w:ind w:firstLine="480" w:firstLineChars="200"/>
        <w:rPr>
          <w:bCs/>
          <w:kern w:val="44"/>
          <w:sz w:val="24"/>
        </w:rPr>
      </w:pPr>
      <w:r>
        <w:rPr>
          <w:rFonts w:hint="eastAsia"/>
          <w:sz w:val="24"/>
        </w:rPr>
        <w:t>2.2.4</w:t>
      </w:r>
      <w:r>
        <w:rPr>
          <w:bCs/>
          <w:kern w:val="44"/>
          <w:sz w:val="24"/>
        </w:rPr>
        <w:t>评标基准价计算</w:t>
      </w:r>
    </w:p>
    <w:p w14:paraId="106E1E89">
      <w:pPr>
        <w:wordWrap w:val="0"/>
        <w:spacing w:line="400" w:lineRule="atLeast"/>
        <w:ind w:firstLine="480" w:firstLineChars="200"/>
        <w:rPr>
          <w:sz w:val="24"/>
        </w:rPr>
      </w:pPr>
      <w:r>
        <w:rPr>
          <w:sz w:val="24"/>
        </w:rPr>
        <w:t>评标基准价计算方法：见评标办法前附表</w:t>
      </w:r>
      <w:r>
        <w:rPr>
          <w:rFonts w:hint="eastAsia"/>
          <w:sz w:val="24"/>
        </w:rPr>
        <w:t>。</w:t>
      </w:r>
    </w:p>
    <w:p w14:paraId="6B96285C">
      <w:pPr>
        <w:wordWrap w:val="0"/>
        <w:spacing w:line="400" w:lineRule="atLeast"/>
        <w:ind w:firstLine="480" w:firstLineChars="200"/>
        <w:rPr>
          <w:sz w:val="24"/>
        </w:rPr>
      </w:pPr>
      <w:r>
        <w:rPr>
          <w:rFonts w:hint="eastAsia"/>
          <w:sz w:val="24"/>
        </w:rPr>
        <w:t>2.2.5评标价的偏差率计算</w:t>
      </w:r>
    </w:p>
    <w:p w14:paraId="7A975345">
      <w:pPr>
        <w:wordWrap w:val="0"/>
        <w:spacing w:line="400" w:lineRule="atLeast"/>
        <w:ind w:firstLine="480" w:firstLineChars="200"/>
        <w:rPr>
          <w:sz w:val="24"/>
        </w:rPr>
      </w:pPr>
      <w:r>
        <w:rPr>
          <w:sz w:val="24"/>
        </w:rPr>
        <w:t>评标价的偏差率计算公式：见评标办法前附表</w:t>
      </w:r>
      <w:r>
        <w:rPr>
          <w:rFonts w:hint="eastAsia"/>
          <w:sz w:val="24"/>
        </w:rPr>
        <w:t>。</w:t>
      </w:r>
    </w:p>
    <w:p w14:paraId="1A627607">
      <w:pPr>
        <w:pStyle w:val="3"/>
        <w:keepNext w:val="0"/>
        <w:keepLines w:val="0"/>
        <w:wordWrap w:val="0"/>
        <w:spacing w:before="360"/>
        <w:rPr>
          <w:sz w:val="28"/>
          <w:szCs w:val="28"/>
        </w:rPr>
      </w:pPr>
      <w:bookmarkStart w:id="5" w:name="_Toc27357"/>
      <w:r>
        <w:rPr>
          <w:sz w:val="28"/>
          <w:szCs w:val="28"/>
        </w:rPr>
        <w:t>3.评标程序</w:t>
      </w:r>
      <w:bookmarkEnd w:id="5"/>
    </w:p>
    <w:p w14:paraId="4E56BD0A">
      <w:pPr>
        <w:pStyle w:val="3"/>
        <w:keepNext w:val="0"/>
        <w:keepLines w:val="0"/>
        <w:wordWrap w:val="0"/>
        <w:rPr>
          <w:szCs w:val="24"/>
        </w:rPr>
      </w:pPr>
      <w:bookmarkStart w:id="6" w:name="_Toc30627"/>
      <w:r>
        <w:rPr>
          <w:szCs w:val="24"/>
        </w:rPr>
        <w:t>3.1第一个信封初步评审</w:t>
      </w:r>
      <w:bookmarkEnd w:id="6"/>
    </w:p>
    <w:p w14:paraId="709F01F2">
      <w:pPr>
        <w:wordWrap w:val="0"/>
        <w:spacing w:line="400" w:lineRule="atLeast"/>
        <w:ind w:firstLine="480" w:firstLineChars="200"/>
        <w:rPr>
          <w:sz w:val="24"/>
        </w:rPr>
      </w:pPr>
      <w:r>
        <w:rPr>
          <w:sz w:val="24"/>
        </w:rPr>
        <w:t>3.1.1评标委员会依据本章第2.1款规定的评审标准对投标文件第一个信封（商务及技术文件）进行初步评审。有一项不符合评审标准的，评标委员会应否决其投标。</w:t>
      </w:r>
    </w:p>
    <w:p w14:paraId="1F1A8E89">
      <w:pPr>
        <w:wordWrap w:val="0"/>
        <w:spacing w:line="400" w:lineRule="atLeast"/>
        <w:ind w:firstLine="480" w:firstLineChars="200"/>
        <w:rPr>
          <w:sz w:val="24"/>
        </w:rPr>
      </w:pPr>
      <w:r>
        <w:rPr>
          <w:sz w:val="24"/>
        </w:rPr>
        <w:t>3.1.2投标文件的标的、质量标准、工期等实质性要求和条件不得出现（存在）不利于招标人的偏差，否则，评标委员会应否决其投标。</w:t>
      </w:r>
    </w:p>
    <w:p w14:paraId="58DAEDB8">
      <w:pPr>
        <w:wordWrap w:val="0"/>
        <w:spacing w:line="400" w:lineRule="atLeast"/>
        <w:ind w:firstLine="480" w:firstLineChars="200"/>
        <w:rPr>
          <w:sz w:val="24"/>
        </w:rPr>
      </w:pPr>
      <w:r>
        <w:rPr>
          <w:sz w:val="24"/>
        </w:rPr>
        <w:t>3.1.3如果通过第一信封评审的有效投标不足3个，评标委员会应当对有效投标是否仍具有竞争性进行评审。评标委员会一致认为有效投标仍具有竞争性的，应当按规定的程序进行第二信封报价文件的评审，并在报告中予以说明。评标委员会对有效投标是否仍具备竞争性无法达成一致意见的，应当否决全部投标。</w:t>
      </w:r>
    </w:p>
    <w:p w14:paraId="61DE7E6A">
      <w:pPr>
        <w:pStyle w:val="3"/>
        <w:keepNext w:val="0"/>
        <w:keepLines w:val="0"/>
        <w:wordWrap w:val="0"/>
        <w:rPr>
          <w:szCs w:val="24"/>
        </w:rPr>
      </w:pPr>
      <w:bookmarkStart w:id="7" w:name="_Toc19092"/>
      <w:r>
        <w:rPr>
          <w:szCs w:val="24"/>
        </w:rPr>
        <w:t>3.2第一个信封详细评审</w:t>
      </w:r>
      <w:bookmarkEnd w:id="7"/>
    </w:p>
    <w:p w14:paraId="2FA488CB">
      <w:pPr>
        <w:wordWrap w:val="0"/>
        <w:spacing w:line="400" w:lineRule="atLeast"/>
        <w:ind w:firstLine="480" w:firstLineChars="200"/>
        <w:rPr>
          <w:sz w:val="24"/>
        </w:rPr>
      </w:pPr>
      <w:r>
        <w:rPr>
          <w:sz w:val="24"/>
        </w:rPr>
        <w:t>3.2.1评标委员会按本章第2.2款规定的量化因素和分值进行打分，并计算出各投标人的商务和技术得分。</w:t>
      </w:r>
    </w:p>
    <w:p w14:paraId="562096E1">
      <w:pPr>
        <w:wordWrap w:val="0"/>
        <w:spacing w:line="400" w:lineRule="atLeast"/>
        <w:ind w:firstLine="480" w:firstLineChars="200"/>
        <w:rPr>
          <w:sz w:val="24"/>
        </w:rPr>
      </w:pPr>
      <w:r>
        <w:rPr>
          <w:sz w:val="24"/>
        </w:rPr>
        <w:t>（1）按本章第2.2.2项（1）目规定的评审因素和分值对施工组织设计部分计算出得分A；</w:t>
      </w:r>
    </w:p>
    <w:p w14:paraId="3B492C5A">
      <w:pPr>
        <w:wordWrap w:val="0"/>
        <w:spacing w:line="400" w:lineRule="atLeast"/>
        <w:ind w:firstLine="480" w:firstLineChars="200"/>
        <w:rPr>
          <w:sz w:val="24"/>
        </w:rPr>
      </w:pPr>
      <w:r>
        <w:rPr>
          <w:sz w:val="24"/>
        </w:rPr>
        <w:t>（2）按本章第2.2.2项（2）目规定的评审因素和分值对主要人员部分计算出得分B；</w:t>
      </w:r>
    </w:p>
    <w:p w14:paraId="013740C8">
      <w:pPr>
        <w:wordWrap w:val="0"/>
        <w:spacing w:line="400" w:lineRule="atLeast"/>
        <w:ind w:firstLine="480" w:firstLineChars="200"/>
        <w:rPr>
          <w:sz w:val="24"/>
        </w:rPr>
      </w:pPr>
      <w:r>
        <w:rPr>
          <w:sz w:val="24"/>
        </w:rPr>
        <w:t>（3）按本章第2.2.2项（3）目规定的评审因素和分值对其他部分计算出得分C。</w:t>
      </w:r>
    </w:p>
    <w:p w14:paraId="3FBCE218">
      <w:pPr>
        <w:wordWrap w:val="0"/>
        <w:spacing w:line="400" w:lineRule="atLeast"/>
        <w:ind w:firstLine="480" w:firstLineChars="200"/>
        <w:rPr>
          <w:sz w:val="24"/>
        </w:rPr>
      </w:pPr>
      <w:r>
        <w:rPr>
          <w:sz w:val="24"/>
        </w:rPr>
        <w:t>3.2.2投标人的商务和技术得分分值计算保留小数点后两位，小数点后第三位</w:t>
      </w:r>
      <w:r>
        <w:rPr>
          <w:rFonts w:hint="eastAsia" w:cs="宋体"/>
          <w:sz w:val="24"/>
        </w:rPr>
        <w:t>“</w:t>
      </w:r>
      <w:r>
        <w:rPr>
          <w:sz w:val="24"/>
        </w:rPr>
        <w:t>四舍五入</w:t>
      </w:r>
      <w:r>
        <w:rPr>
          <w:rFonts w:hint="eastAsia" w:cs="宋体"/>
          <w:sz w:val="24"/>
        </w:rPr>
        <w:t>”</w:t>
      </w:r>
      <w:r>
        <w:rPr>
          <w:sz w:val="24"/>
        </w:rPr>
        <w:t>。</w:t>
      </w:r>
    </w:p>
    <w:p w14:paraId="4C3A775B">
      <w:pPr>
        <w:wordWrap w:val="0"/>
        <w:spacing w:line="400" w:lineRule="atLeast"/>
        <w:ind w:firstLine="480" w:firstLineChars="200"/>
        <w:rPr>
          <w:sz w:val="24"/>
        </w:rPr>
      </w:pPr>
      <w:r>
        <w:rPr>
          <w:sz w:val="24"/>
        </w:rPr>
        <w:t>3.2.3投标人的商务和技术得分=A+B+C。</w:t>
      </w:r>
    </w:p>
    <w:p w14:paraId="7A01ABAE">
      <w:pPr>
        <w:wordWrap w:val="0"/>
        <w:spacing w:line="400" w:lineRule="atLeast"/>
        <w:ind w:firstLine="480" w:firstLineChars="200"/>
        <w:rPr>
          <w:sz w:val="24"/>
        </w:rPr>
      </w:pPr>
      <w:r>
        <w:rPr>
          <w:sz w:val="24"/>
        </w:rPr>
        <w:t>3.2.4评标委员会按照投标人的商务和技术得分由高到低排序，排名在评标办法前附表规定数量以内的投标人，其投标文件第一个信封（商务及技术文件）通过详细评审。</w:t>
      </w:r>
    </w:p>
    <w:p w14:paraId="2D24394F">
      <w:pPr>
        <w:wordWrap w:val="0"/>
        <w:spacing w:line="400" w:lineRule="atLeast"/>
        <w:ind w:firstLine="480" w:firstLineChars="200"/>
        <w:rPr>
          <w:sz w:val="24"/>
        </w:rPr>
      </w:pPr>
      <w:r>
        <w:rPr>
          <w:sz w:val="24"/>
        </w:rPr>
        <w:t>3.2.5通过投标文件第一个信封（商务及技术文件）初步评审的投标人不少于3个且未超过评标办法前附表第3.2.4项规定数量的，均通过投标文件第一个信封（商务及技术文件）详细评审，不再对投标人的商务和技术文件进行评分。</w:t>
      </w:r>
    </w:p>
    <w:p w14:paraId="61B7525B">
      <w:pPr>
        <w:pStyle w:val="3"/>
        <w:keepNext w:val="0"/>
        <w:keepLines w:val="0"/>
        <w:wordWrap w:val="0"/>
        <w:rPr>
          <w:szCs w:val="24"/>
        </w:rPr>
      </w:pPr>
      <w:bookmarkStart w:id="8" w:name="_Toc25510"/>
      <w:r>
        <w:rPr>
          <w:szCs w:val="24"/>
        </w:rPr>
        <w:t>3.3第二个信封开标</w:t>
      </w:r>
      <w:bookmarkEnd w:id="8"/>
    </w:p>
    <w:p w14:paraId="50DF51E9">
      <w:pPr>
        <w:wordWrap w:val="0"/>
        <w:spacing w:line="400" w:lineRule="atLeast"/>
        <w:ind w:firstLine="480" w:firstLineChars="200"/>
        <w:rPr>
          <w:sz w:val="24"/>
        </w:rPr>
      </w:pPr>
      <w:r>
        <w:rPr>
          <w:sz w:val="24"/>
        </w:rPr>
        <w:t>第一个信封（商务及技术文件）评审结束后，招标人将按照第二章</w:t>
      </w:r>
      <w:r>
        <w:rPr>
          <w:rFonts w:hint="eastAsia" w:cs="宋体"/>
          <w:sz w:val="24"/>
        </w:rPr>
        <w:t>“</w:t>
      </w:r>
      <w:r>
        <w:rPr>
          <w:sz w:val="24"/>
        </w:rPr>
        <w:t>投标人须知</w:t>
      </w:r>
      <w:r>
        <w:rPr>
          <w:rFonts w:hint="eastAsia" w:cs="宋体"/>
          <w:sz w:val="24"/>
        </w:rPr>
        <w:t>”</w:t>
      </w:r>
      <w:r>
        <w:rPr>
          <w:sz w:val="24"/>
        </w:rPr>
        <w:t>第5.1款规定的时间和地点对通过投标文件第一个信封（商务及技术文件）评审的投标文件第二个信封（报价文件）进行开标。</w:t>
      </w:r>
    </w:p>
    <w:p w14:paraId="22564438">
      <w:pPr>
        <w:pStyle w:val="3"/>
        <w:keepNext w:val="0"/>
        <w:keepLines w:val="0"/>
        <w:wordWrap w:val="0"/>
        <w:rPr>
          <w:szCs w:val="24"/>
        </w:rPr>
      </w:pPr>
      <w:bookmarkStart w:id="9" w:name="_Toc10672"/>
      <w:r>
        <w:rPr>
          <w:szCs w:val="24"/>
        </w:rPr>
        <w:t>3.4第二个信封初步评审</w:t>
      </w:r>
      <w:bookmarkEnd w:id="9"/>
    </w:p>
    <w:p w14:paraId="6283D363">
      <w:pPr>
        <w:wordWrap w:val="0"/>
        <w:spacing w:line="400" w:lineRule="atLeast"/>
        <w:ind w:firstLine="480" w:firstLineChars="200"/>
        <w:rPr>
          <w:sz w:val="24"/>
        </w:rPr>
      </w:pPr>
      <w:r>
        <w:rPr>
          <w:sz w:val="24"/>
        </w:rPr>
        <w:t>3.4.1评标委员会依据本章第2.1.1项、第2.1.3项规定的评审标准对投标文件第二个信封（报价文件）进行初步评审。有一项不符合评审标准的，评标委员会应否决其投标。</w:t>
      </w:r>
    </w:p>
    <w:p w14:paraId="76515BE5">
      <w:pPr>
        <w:wordWrap w:val="0"/>
        <w:spacing w:line="400" w:lineRule="atLeast"/>
        <w:ind w:firstLine="480" w:firstLineChars="200"/>
        <w:rPr>
          <w:sz w:val="24"/>
        </w:rPr>
      </w:pPr>
      <w:r>
        <w:rPr>
          <w:sz w:val="24"/>
        </w:rPr>
        <w:t>3.4.2</w:t>
      </w:r>
      <w:r>
        <w:rPr>
          <w:vertAlign w:val="superscript"/>
        </w:rPr>
        <w:footnoteReference w:id="1"/>
      </w:r>
      <w:r>
        <w:rPr>
          <w:sz w:val="24"/>
        </w:rPr>
        <w:t>投标报价有算术错误的，评标委员会按以下原则对投标报价进行修正，修正的价格经投标人书面确认后具有约束力。投标人不接受修正价格的，评标委员会应否决其投标。</w:t>
      </w:r>
    </w:p>
    <w:p w14:paraId="2A3F65B7">
      <w:pPr>
        <w:wordWrap w:val="0"/>
        <w:spacing w:line="400" w:lineRule="atLeast"/>
        <w:ind w:firstLine="480" w:firstLineChars="200"/>
        <w:rPr>
          <w:sz w:val="24"/>
        </w:rPr>
      </w:pPr>
      <w:r>
        <w:rPr>
          <w:sz w:val="24"/>
        </w:rPr>
        <w:t>（1）投标文件中的大写金额与小写金额不一致的，以大写金额为准；</w:t>
      </w:r>
    </w:p>
    <w:p w14:paraId="5D2DEB54">
      <w:pPr>
        <w:wordWrap w:val="0"/>
        <w:spacing w:line="400" w:lineRule="atLeast"/>
        <w:ind w:firstLine="480" w:firstLineChars="200"/>
        <w:rPr>
          <w:sz w:val="24"/>
        </w:rPr>
      </w:pPr>
      <w:r>
        <w:rPr>
          <w:sz w:val="24"/>
        </w:rPr>
        <w:t>（2）总价金额与依据单价计算出的结果不一致的，以单价金额为准修正总价，但单价金额小数点有明显错误的除外;</w:t>
      </w:r>
    </w:p>
    <w:p w14:paraId="45A9EB27">
      <w:pPr>
        <w:wordWrap w:val="0"/>
        <w:spacing w:line="400" w:lineRule="atLeast"/>
        <w:ind w:firstLine="480" w:firstLineChars="200"/>
        <w:rPr>
          <w:sz w:val="24"/>
        </w:rPr>
      </w:pPr>
      <w:r>
        <w:rPr>
          <w:sz w:val="24"/>
        </w:rPr>
        <w:t>（3）当单价与数量相乘不等于合价时，以单价计算为准，如果单价有明显的小数点位置差错，应以标出的合价为准，同时对单价予以修正；</w:t>
      </w:r>
    </w:p>
    <w:p w14:paraId="22AF17C1">
      <w:pPr>
        <w:wordWrap w:val="0"/>
        <w:spacing w:line="400" w:lineRule="atLeast"/>
        <w:ind w:firstLine="480" w:firstLineChars="200"/>
        <w:rPr>
          <w:sz w:val="24"/>
        </w:rPr>
      </w:pPr>
      <w:r>
        <w:rPr>
          <w:sz w:val="24"/>
        </w:rPr>
        <w:t>（4）当各子目的合价累计不等于总价时，应以各子目合价累计数为准，修正总价。</w:t>
      </w:r>
    </w:p>
    <w:p w14:paraId="322EFFC3">
      <w:pPr>
        <w:wordWrap w:val="0"/>
        <w:spacing w:line="400" w:lineRule="atLeast"/>
        <w:ind w:firstLine="480" w:firstLineChars="200"/>
        <w:rPr>
          <w:sz w:val="24"/>
        </w:rPr>
      </w:pPr>
      <w:r>
        <w:rPr>
          <w:sz w:val="24"/>
        </w:rPr>
        <w:t>3.4.3工程量清单中的投标报价有其他错误的，评标委员会按以下原则对投标报价进行修正，修正的价格经投标人书面确认后具有约束力。投标人不接受修正价格的，评标委员会应否决其投标。</w:t>
      </w:r>
    </w:p>
    <w:p w14:paraId="50169B9A">
      <w:pPr>
        <w:wordWrap w:val="0"/>
        <w:spacing w:line="400" w:lineRule="atLeast"/>
        <w:ind w:firstLine="480" w:firstLineChars="200"/>
        <w:rPr>
          <w:sz w:val="24"/>
        </w:rPr>
      </w:pPr>
      <w:r>
        <w:rPr>
          <w:sz w:val="24"/>
        </w:rPr>
        <w:t>（1）在招标人给定的工程量清单中漏报了某个工程子目的单价、合价或总额价，或所报单价、合价或总额价减少了报价范围，则漏报的工程子目单价、合价和总额价或单价、合价和总额价中减少的报价内容视为已含入其他工程子目的单价、合价和总额价之中。</w:t>
      </w:r>
    </w:p>
    <w:p w14:paraId="0E5C52E4">
      <w:pPr>
        <w:wordWrap w:val="0"/>
        <w:spacing w:line="400" w:lineRule="atLeast"/>
        <w:ind w:firstLine="480" w:firstLineChars="200"/>
        <w:rPr>
          <w:sz w:val="24"/>
        </w:rPr>
      </w:pPr>
      <w:r>
        <w:rPr>
          <w:sz w:val="24"/>
        </w:rPr>
        <w:t>（2）在招标人给定的工程量清单中多报了某个工程子目的单价、合价或总额价，或所报单价、合价或总额价增加了报价范围，则从投标报价中扣除多报的工程子目报价或工程子目报价中增加了报价范围的部分报价。</w:t>
      </w:r>
    </w:p>
    <w:p w14:paraId="06E4B68B">
      <w:pPr>
        <w:wordWrap w:val="0"/>
        <w:spacing w:line="400" w:lineRule="atLeast"/>
        <w:ind w:firstLine="480" w:firstLineChars="200"/>
        <w:rPr>
          <w:sz w:val="24"/>
        </w:rPr>
      </w:pPr>
      <w:r>
        <w:rPr>
          <w:sz w:val="24"/>
        </w:rPr>
        <w:t>（3）当单价与数量的乘积与合价（金额）虽然一致，但投标人修改了该子目的工程数量，则其合价按招标人给定的工程数量乘以投标人所报单价予以修正。</w:t>
      </w:r>
    </w:p>
    <w:p w14:paraId="0F3BB170">
      <w:pPr>
        <w:wordWrap w:val="0"/>
        <w:spacing w:line="400" w:lineRule="atLeast"/>
        <w:ind w:firstLine="480" w:firstLineChars="200"/>
        <w:rPr>
          <w:sz w:val="24"/>
        </w:rPr>
      </w:pPr>
      <w:r>
        <w:rPr>
          <w:sz w:val="24"/>
        </w:rPr>
        <w:t>3.4.4修正后的最终投标报价若超过最高投标限价（如有），评标委员会应否决其投标。</w:t>
      </w:r>
    </w:p>
    <w:p w14:paraId="0012DF59">
      <w:pPr>
        <w:pStyle w:val="3"/>
        <w:keepNext w:val="0"/>
        <w:keepLines w:val="0"/>
        <w:wordWrap w:val="0"/>
        <w:rPr>
          <w:szCs w:val="24"/>
        </w:rPr>
      </w:pPr>
      <w:bookmarkStart w:id="10" w:name="_Toc3839"/>
      <w:r>
        <w:rPr>
          <w:szCs w:val="24"/>
        </w:rPr>
        <w:t>3.5第二个信封详细评审</w:t>
      </w:r>
      <w:bookmarkEnd w:id="10"/>
    </w:p>
    <w:p w14:paraId="6F0EFBA6">
      <w:pPr>
        <w:wordWrap w:val="0"/>
        <w:spacing w:line="400" w:lineRule="atLeast"/>
        <w:ind w:firstLine="480" w:firstLineChars="200"/>
        <w:rPr>
          <w:sz w:val="24"/>
        </w:rPr>
      </w:pPr>
      <w:r>
        <w:rPr>
          <w:sz w:val="24"/>
        </w:rPr>
        <w:t>3.5.1评标委员会按本章第2.2款规定的量化因素和分值进行打分，并计算出评标价得分。</w:t>
      </w:r>
    </w:p>
    <w:p w14:paraId="2CD8F07D">
      <w:pPr>
        <w:wordWrap w:val="0"/>
        <w:spacing w:line="400" w:lineRule="atLeast"/>
        <w:ind w:firstLine="480" w:firstLineChars="200"/>
        <w:rPr>
          <w:sz w:val="24"/>
        </w:rPr>
      </w:pPr>
      <w:r>
        <w:rPr>
          <w:sz w:val="24"/>
        </w:rPr>
        <w:t>3.</w:t>
      </w:r>
      <w:r>
        <w:rPr>
          <w:rFonts w:hint="eastAsia"/>
          <w:sz w:val="24"/>
        </w:rPr>
        <w:t>5</w:t>
      </w:r>
      <w:r>
        <w:rPr>
          <w:sz w:val="24"/>
        </w:rPr>
        <w:t>.2投标人得分分值计算保留小数点后两位，小数点后第三位</w:t>
      </w:r>
      <w:r>
        <w:rPr>
          <w:rFonts w:hint="eastAsia" w:cs="宋体"/>
          <w:sz w:val="24"/>
        </w:rPr>
        <w:t>“</w:t>
      </w:r>
      <w:r>
        <w:rPr>
          <w:sz w:val="24"/>
        </w:rPr>
        <w:t>四舍五入</w:t>
      </w:r>
      <w:r>
        <w:rPr>
          <w:rFonts w:hint="eastAsia" w:cs="宋体"/>
          <w:sz w:val="24"/>
        </w:rPr>
        <w:t>”。</w:t>
      </w:r>
    </w:p>
    <w:p w14:paraId="198EC327">
      <w:pPr>
        <w:wordWrap w:val="0"/>
        <w:spacing w:line="400" w:lineRule="atLeast"/>
        <w:ind w:firstLine="480" w:firstLineChars="200"/>
        <w:rPr>
          <w:sz w:val="24"/>
        </w:rPr>
      </w:pPr>
      <w:r>
        <w:rPr>
          <w:sz w:val="24"/>
        </w:rPr>
        <w:t>3.5.</w:t>
      </w:r>
      <w:r>
        <w:rPr>
          <w:rFonts w:hint="eastAsia"/>
          <w:sz w:val="24"/>
        </w:rPr>
        <w:t>3</w:t>
      </w:r>
      <w:r>
        <w:rPr>
          <w:sz w:val="24"/>
        </w:rPr>
        <w:t>评标委员会发现投标人的报价明显低于其他投标报价，是有可能影响履约的异常低价，应按本章3.7款的规定向投标人发出澄清，要求该投标人作出书面说明该报价的合理性并提供相应证明材料。当投标人不能合理说明并证明其报价的合理性的，评标委员会应以少数服从多数的原则否决其投标。</w:t>
      </w:r>
    </w:p>
    <w:p w14:paraId="14E17D8C">
      <w:pPr>
        <w:pStyle w:val="3"/>
        <w:wordWrap w:val="0"/>
        <w:rPr>
          <w:szCs w:val="24"/>
        </w:rPr>
      </w:pPr>
      <w:bookmarkStart w:id="11" w:name="_Toc14139"/>
      <w:r>
        <w:rPr>
          <w:szCs w:val="24"/>
        </w:rPr>
        <w:t>3.6投标文件相关信息的核查</w:t>
      </w:r>
      <w:bookmarkEnd w:id="11"/>
    </w:p>
    <w:p w14:paraId="299A1730">
      <w:pPr>
        <w:wordWrap w:val="0"/>
        <w:spacing w:line="400" w:lineRule="atLeast"/>
        <w:ind w:firstLine="480" w:firstLineChars="200"/>
        <w:rPr>
          <w:sz w:val="24"/>
        </w:rPr>
      </w:pPr>
      <w:r>
        <w:rPr>
          <w:sz w:val="24"/>
        </w:rPr>
        <w:t>3.6.1在评标过程中，评标委员会应查询交通运输主管部门</w:t>
      </w:r>
      <w:r>
        <w:rPr>
          <w:rFonts w:hint="eastAsia" w:cs="宋体"/>
          <w:sz w:val="24"/>
        </w:rPr>
        <w:t>“</w:t>
      </w:r>
      <w:r>
        <w:rPr>
          <w:rFonts w:hint="eastAsia"/>
          <w:sz w:val="24"/>
        </w:rPr>
        <w:t>全国公路建设市场监督管理系统</w:t>
      </w:r>
      <w:r>
        <w:rPr>
          <w:rFonts w:hint="eastAsia" w:cs="宋体"/>
          <w:sz w:val="24"/>
        </w:rPr>
        <w:t>”</w:t>
      </w:r>
      <w:r>
        <w:rPr>
          <w:sz w:val="24"/>
        </w:rPr>
        <w:t>，对投标人的资质、业绩、主要人员资历和目前在岗情况、信用等级等信息进行核实。若投标文件载明的信息与交通运输主管部门</w:t>
      </w:r>
      <w:r>
        <w:rPr>
          <w:rFonts w:hint="eastAsia" w:cs="宋体"/>
          <w:sz w:val="24"/>
        </w:rPr>
        <w:t>“</w:t>
      </w:r>
      <w:r>
        <w:rPr>
          <w:rFonts w:hint="eastAsia"/>
          <w:sz w:val="24"/>
        </w:rPr>
        <w:t>全国公路建设市场监督管理系统</w:t>
      </w:r>
      <w:r>
        <w:rPr>
          <w:rFonts w:hint="eastAsia" w:cs="宋体"/>
          <w:sz w:val="24"/>
        </w:rPr>
        <w:t>”</w:t>
      </w:r>
      <w:r>
        <w:rPr>
          <w:sz w:val="24"/>
        </w:rPr>
        <w:t>发布的信息不符，使得投标人的资格条件不符合招标文件规定的，评标委员会应否决其投标。</w:t>
      </w:r>
    </w:p>
    <w:p w14:paraId="1778502D">
      <w:pPr>
        <w:wordWrap w:val="0"/>
        <w:spacing w:line="400" w:lineRule="atLeast"/>
        <w:ind w:firstLine="480" w:firstLineChars="200"/>
        <w:rPr>
          <w:sz w:val="24"/>
        </w:rPr>
      </w:pPr>
      <w:r>
        <w:rPr>
          <w:sz w:val="24"/>
        </w:rPr>
        <w:t>3.6.2评标委员会应对在评标过程中发现的投标人与投标人之间、投标人与招标人之间存在的串通投标的情形进行评审和认定。投标人存在串通投标、弄虚作假、行贿等违法行为的，评标委员会应否决其投标。</w:t>
      </w:r>
    </w:p>
    <w:p w14:paraId="7DA8899D">
      <w:pPr>
        <w:wordWrap w:val="0"/>
        <w:spacing w:line="400" w:lineRule="atLeast"/>
        <w:ind w:firstLine="480" w:firstLineChars="200"/>
        <w:rPr>
          <w:sz w:val="24"/>
        </w:rPr>
      </w:pPr>
      <w:r>
        <w:rPr>
          <w:sz w:val="24"/>
        </w:rPr>
        <w:t>（1）有下列情形之一的，属于投标人相互串通投标：</w:t>
      </w:r>
    </w:p>
    <w:p w14:paraId="45B43FE0">
      <w:pPr>
        <w:wordWrap w:val="0"/>
        <w:spacing w:line="400" w:lineRule="atLeast"/>
        <w:ind w:firstLine="480" w:firstLineChars="200"/>
        <w:rPr>
          <w:sz w:val="24"/>
        </w:rPr>
      </w:pPr>
      <w:r>
        <w:rPr>
          <w:sz w:val="24"/>
        </w:rPr>
        <w:t>a.投标人之间协商投标报价等投标文件的实质性内容；</w:t>
      </w:r>
    </w:p>
    <w:p w14:paraId="2F034752">
      <w:pPr>
        <w:wordWrap w:val="0"/>
        <w:spacing w:line="400" w:lineRule="atLeast"/>
        <w:ind w:firstLine="480" w:firstLineChars="200"/>
        <w:rPr>
          <w:sz w:val="24"/>
        </w:rPr>
      </w:pPr>
      <w:r>
        <w:rPr>
          <w:sz w:val="24"/>
        </w:rPr>
        <w:t>b.投标人之间约定中标人；</w:t>
      </w:r>
    </w:p>
    <w:p w14:paraId="2BD3F18D">
      <w:pPr>
        <w:wordWrap w:val="0"/>
        <w:spacing w:line="400" w:lineRule="atLeast"/>
        <w:ind w:firstLine="480" w:firstLineChars="200"/>
        <w:rPr>
          <w:sz w:val="24"/>
        </w:rPr>
      </w:pPr>
      <w:r>
        <w:rPr>
          <w:sz w:val="24"/>
        </w:rPr>
        <w:t>c.投标人之间约定部分投标人放弃投标或中标；</w:t>
      </w:r>
    </w:p>
    <w:p w14:paraId="7CE6831D">
      <w:pPr>
        <w:wordWrap w:val="0"/>
        <w:spacing w:line="400" w:lineRule="atLeast"/>
        <w:ind w:firstLine="480" w:firstLineChars="200"/>
        <w:rPr>
          <w:sz w:val="24"/>
        </w:rPr>
      </w:pPr>
      <w:r>
        <w:rPr>
          <w:sz w:val="24"/>
        </w:rPr>
        <w:t>d.属于同一集团、协会、商会等组织成员的投标人按照该组织要求协同投标；</w:t>
      </w:r>
    </w:p>
    <w:p w14:paraId="3240E805">
      <w:pPr>
        <w:wordWrap w:val="0"/>
        <w:spacing w:line="400" w:lineRule="atLeast"/>
        <w:ind w:firstLine="480" w:firstLineChars="200"/>
        <w:rPr>
          <w:sz w:val="24"/>
        </w:rPr>
      </w:pPr>
      <w:r>
        <w:rPr>
          <w:sz w:val="24"/>
        </w:rPr>
        <w:t>e.投标人之间为谋取中标或排斥特定投标人而采取的其他联合行动。</w:t>
      </w:r>
    </w:p>
    <w:p w14:paraId="7F11E4A6">
      <w:pPr>
        <w:wordWrap w:val="0"/>
        <w:spacing w:line="400" w:lineRule="atLeast"/>
        <w:ind w:firstLine="480" w:firstLineChars="200"/>
        <w:rPr>
          <w:sz w:val="24"/>
        </w:rPr>
      </w:pPr>
      <w:r>
        <w:rPr>
          <w:sz w:val="24"/>
        </w:rPr>
        <w:t>（2）有下列情形之一的，视为投标人相互串通投标：</w:t>
      </w:r>
    </w:p>
    <w:p w14:paraId="6C7DB687">
      <w:pPr>
        <w:wordWrap w:val="0"/>
        <w:spacing w:line="400" w:lineRule="atLeast"/>
        <w:ind w:firstLine="480" w:firstLineChars="200"/>
        <w:rPr>
          <w:sz w:val="24"/>
        </w:rPr>
      </w:pPr>
      <w:r>
        <w:rPr>
          <w:sz w:val="24"/>
        </w:rPr>
        <w:t>a.不同投标人的投标文件由同一单位或个人编制；</w:t>
      </w:r>
    </w:p>
    <w:p w14:paraId="2DD04D8F">
      <w:pPr>
        <w:wordWrap w:val="0"/>
        <w:spacing w:line="400" w:lineRule="atLeast"/>
        <w:ind w:firstLine="480" w:firstLineChars="200"/>
        <w:rPr>
          <w:sz w:val="24"/>
        </w:rPr>
      </w:pPr>
      <w:r>
        <w:rPr>
          <w:sz w:val="24"/>
        </w:rPr>
        <w:t>b.不同投标人委托同一单位或个人办理投标事宜；</w:t>
      </w:r>
    </w:p>
    <w:p w14:paraId="2B3C2BCF">
      <w:pPr>
        <w:wordWrap w:val="0"/>
        <w:spacing w:line="400" w:lineRule="atLeast"/>
        <w:ind w:firstLine="480" w:firstLineChars="200"/>
        <w:rPr>
          <w:sz w:val="24"/>
        </w:rPr>
      </w:pPr>
      <w:r>
        <w:rPr>
          <w:sz w:val="24"/>
        </w:rPr>
        <w:t>c.不同投标人的投标文件载明的项目管理成员为同一人；</w:t>
      </w:r>
    </w:p>
    <w:p w14:paraId="3E697B44">
      <w:pPr>
        <w:wordWrap w:val="0"/>
        <w:spacing w:line="400" w:lineRule="atLeast"/>
        <w:ind w:firstLine="480" w:firstLineChars="200"/>
        <w:rPr>
          <w:sz w:val="24"/>
        </w:rPr>
      </w:pPr>
      <w:r>
        <w:rPr>
          <w:sz w:val="24"/>
        </w:rPr>
        <w:t>d.不同投标人的投标文件异常一致或投标报价呈规律性差异；</w:t>
      </w:r>
    </w:p>
    <w:p w14:paraId="6FAABC16">
      <w:pPr>
        <w:wordWrap w:val="0"/>
        <w:spacing w:line="400" w:lineRule="atLeast"/>
        <w:ind w:firstLine="480" w:firstLineChars="200"/>
        <w:rPr>
          <w:sz w:val="24"/>
        </w:rPr>
      </w:pPr>
      <w:r>
        <w:rPr>
          <w:sz w:val="24"/>
        </w:rPr>
        <w:t>e.不同投标人的投标文件相互混装；</w:t>
      </w:r>
    </w:p>
    <w:p w14:paraId="03FE96C6">
      <w:pPr>
        <w:wordWrap w:val="0"/>
        <w:spacing w:line="400" w:lineRule="atLeast"/>
        <w:ind w:firstLine="480" w:firstLineChars="200"/>
        <w:rPr>
          <w:sz w:val="24"/>
        </w:rPr>
      </w:pPr>
      <w:r>
        <w:rPr>
          <w:sz w:val="24"/>
        </w:rPr>
        <w:t>f.不同投标人的投标保证金从同一单位或个人的账户转出。</w:t>
      </w:r>
    </w:p>
    <w:p w14:paraId="58EAEA4B">
      <w:pPr>
        <w:wordWrap w:val="0"/>
        <w:spacing w:line="400" w:lineRule="atLeast"/>
        <w:ind w:firstLine="480" w:firstLineChars="200"/>
        <w:rPr>
          <w:sz w:val="24"/>
        </w:rPr>
      </w:pPr>
      <w:r>
        <w:rPr>
          <w:sz w:val="24"/>
        </w:rPr>
        <w:t>（3）有下列情形之一的，属于招标人与投标人串通投标：</w:t>
      </w:r>
    </w:p>
    <w:p w14:paraId="472B1A35">
      <w:pPr>
        <w:wordWrap w:val="0"/>
        <w:spacing w:line="400" w:lineRule="atLeast"/>
        <w:ind w:firstLine="480" w:firstLineChars="200"/>
        <w:rPr>
          <w:sz w:val="24"/>
        </w:rPr>
      </w:pPr>
      <w:r>
        <w:rPr>
          <w:sz w:val="24"/>
        </w:rPr>
        <w:t>a.招标人在开标前开启投标文件并将有关信息泄露给其他投标人</w:t>
      </w:r>
      <w:r>
        <w:rPr>
          <w:rFonts w:hint="eastAsia"/>
          <w:sz w:val="24"/>
        </w:rPr>
        <w:t>；</w:t>
      </w:r>
    </w:p>
    <w:p w14:paraId="5B9950B9">
      <w:pPr>
        <w:wordWrap w:val="0"/>
        <w:spacing w:line="400" w:lineRule="atLeast"/>
        <w:ind w:firstLine="480" w:firstLineChars="200"/>
        <w:rPr>
          <w:sz w:val="24"/>
        </w:rPr>
      </w:pPr>
      <w:r>
        <w:rPr>
          <w:sz w:val="24"/>
        </w:rPr>
        <w:t>b.招标人直接或间接向投标人泄露标底、评标委员会成员等信息；</w:t>
      </w:r>
    </w:p>
    <w:p w14:paraId="23BAB182">
      <w:pPr>
        <w:wordWrap w:val="0"/>
        <w:spacing w:line="400" w:lineRule="atLeast"/>
        <w:ind w:firstLine="480" w:firstLineChars="200"/>
        <w:rPr>
          <w:sz w:val="24"/>
        </w:rPr>
      </w:pPr>
      <w:r>
        <w:rPr>
          <w:sz w:val="24"/>
        </w:rPr>
        <w:t>c.招标人明示或暗示投标人压低或抬高投标报价；</w:t>
      </w:r>
    </w:p>
    <w:p w14:paraId="4C389C12">
      <w:pPr>
        <w:wordWrap w:val="0"/>
        <w:spacing w:line="400" w:lineRule="atLeast"/>
        <w:ind w:firstLine="480" w:firstLineChars="200"/>
        <w:rPr>
          <w:sz w:val="24"/>
        </w:rPr>
      </w:pPr>
      <w:r>
        <w:rPr>
          <w:sz w:val="24"/>
        </w:rPr>
        <w:t>d.招标人授意投标人撤换、修改投标文件；</w:t>
      </w:r>
    </w:p>
    <w:p w14:paraId="32C84232">
      <w:pPr>
        <w:wordWrap w:val="0"/>
        <w:spacing w:line="400" w:lineRule="atLeast"/>
        <w:ind w:firstLine="480" w:firstLineChars="200"/>
        <w:rPr>
          <w:sz w:val="24"/>
        </w:rPr>
      </w:pPr>
      <w:r>
        <w:rPr>
          <w:sz w:val="24"/>
        </w:rPr>
        <w:t>e.招标人明示或暗示投标人为特定投标人中标提供方便；</w:t>
      </w:r>
    </w:p>
    <w:p w14:paraId="47A041F8">
      <w:pPr>
        <w:wordWrap w:val="0"/>
        <w:spacing w:line="400" w:lineRule="atLeast"/>
        <w:ind w:firstLine="480" w:firstLineChars="200"/>
        <w:rPr>
          <w:sz w:val="24"/>
        </w:rPr>
      </w:pPr>
      <w:r>
        <w:rPr>
          <w:sz w:val="24"/>
        </w:rPr>
        <w:t>f.招标人与投标人为谋求特定投标人中标而采取的其他串通行为。</w:t>
      </w:r>
    </w:p>
    <w:p w14:paraId="6A0F9DB5">
      <w:pPr>
        <w:wordWrap w:val="0"/>
        <w:spacing w:line="400" w:lineRule="atLeast"/>
        <w:ind w:firstLine="480" w:firstLineChars="200"/>
        <w:rPr>
          <w:sz w:val="24"/>
        </w:rPr>
      </w:pPr>
      <w:r>
        <w:rPr>
          <w:sz w:val="24"/>
        </w:rPr>
        <w:t>（4）投标人有下列情形之一的，属于弄虚作假的行为：</w:t>
      </w:r>
    </w:p>
    <w:p w14:paraId="7422280E">
      <w:pPr>
        <w:wordWrap w:val="0"/>
        <w:spacing w:line="400" w:lineRule="atLeast"/>
        <w:ind w:firstLine="480" w:firstLineChars="200"/>
        <w:rPr>
          <w:sz w:val="24"/>
        </w:rPr>
      </w:pPr>
      <w:r>
        <w:rPr>
          <w:sz w:val="24"/>
        </w:rPr>
        <w:t>a.使用通过受让或租借等方式获取的资格、资质证书投标；</w:t>
      </w:r>
    </w:p>
    <w:p w14:paraId="5D67923A">
      <w:pPr>
        <w:wordWrap w:val="0"/>
        <w:spacing w:line="400" w:lineRule="atLeast"/>
        <w:ind w:firstLine="480" w:firstLineChars="200"/>
        <w:rPr>
          <w:sz w:val="24"/>
        </w:rPr>
      </w:pPr>
      <w:r>
        <w:rPr>
          <w:sz w:val="24"/>
        </w:rPr>
        <w:t>b.使用伪造、变造的许可证件；</w:t>
      </w:r>
    </w:p>
    <w:p w14:paraId="69619FB2">
      <w:pPr>
        <w:wordWrap w:val="0"/>
        <w:spacing w:line="400" w:lineRule="atLeast"/>
        <w:ind w:firstLine="480" w:firstLineChars="200"/>
        <w:rPr>
          <w:sz w:val="24"/>
        </w:rPr>
      </w:pPr>
      <w:r>
        <w:rPr>
          <w:sz w:val="24"/>
        </w:rPr>
        <w:t>c.提供虚假的财务状况或业绩；</w:t>
      </w:r>
    </w:p>
    <w:p w14:paraId="61386DB1">
      <w:pPr>
        <w:wordWrap w:val="0"/>
        <w:spacing w:line="400" w:lineRule="atLeast"/>
        <w:ind w:firstLine="480" w:firstLineChars="200"/>
        <w:rPr>
          <w:sz w:val="24"/>
        </w:rPr>
      </w:pPr>
      <w:r>
        <w:rPr>
          <w:sz w:val="24"/>
        </w:rPr>
        <w:t>d.提供虚假的项目负责人或主要技术人员简历、劳动关系证明；</w:t>
      </w:r>
    </w:p>
    <w:p w14:paraId="4CD50D12">
      <w:pPr>
        <w:wordWrap w:val="0"/>
        <w:spacing w:line="400" w:lineRule="atLeast"/>
        <w:ind w:firstLine="480" w:firstLineChars="200"/>
        <w:rPr>
          <w:sz w:val="24"/>
        </w:rPr>
      </w:pPr>
      <w:r>
        <w:rPr>
          <w:sz w:val="24"/>
        </w:rPr>
        <w:t>e.提供虚假的信用状况；</w:t>
      </w:r>
    </w:p>
    <w:p w14:paraId="2463495A">
      <w:pPr>
        <w:wordWrap w:val="0"/>
        <w:spacing w:line="400" w:lineRule="atLeast"/>
        <w:ind w:firstLine="480" w:firstLineChars="200"/>
        <w:rPr>
          <w:rFonts w:eastAsia="隶书"/>
          <w:sz w:val="24"/>
        </w:rPr>
      </w:pPr>
      <w:r>
        <w:rPr>
          <w:sz w:val="24"/>
        </w:rPr>
        <w:t>f.其他弄虚作假的行为。</w:t>
      </w:r>
    </w:p>
    <w:p w14:paraId="1001C50F">
      <w:pPr>
        <w:pStyle w:val="3"/>
        <w:wordWrap w:val="0"/>
        <w:spacing w:line="400" w:lineRule="atLeast"/>
        <w:rPr>
          <w:szCs w:val="24"/>
        </w:rPr>
      </w:pPr>
      <w:bookmarkStart w:id="12" w:name="_Toc31420"/>
      <w:r>
        <w:rPr>
          <w:szCs w:val="24"/>
        </w:rPr>
        <w:t>3.7投标文件的澄清和说明</w:t>
      </w:r>
      <w:bookmarkEnd w:id="12"/>
    </w:p>
    <w:p w14:paraId="2EF18F3E">
      <w:pPr>
        <w:wordWrap w:val="0"/>
        <w:spacing w:line="400" w:lineRule="atLeast"/>
        <w:ind w:firstLine="480" w:firstLineChars="200"/>
        <w:rPr>
          <w:sz w:val="24"/>
        </w:rPr>
      </w:pPr>
      <w:r>
        <w:rPr>
          <w:sz w:val="24"/>
        </w:rPr>
        <w:t>3.7.1在评标过程中，评标委员会可以书面形式要求投标人对投标文件中含义不明确的内容、明显文字或计算错误进行书面澄清或说明。评标委员会不接受投标人主动提出的澄清、说明。投标人不按评标委员会要求澄清或说明的，评标委员会应否决其投标。</w:t>
      </w:r>
    </w:p>
    <w:p w14:paraId="0410F93F">
      <w:pPr>
        <w:wordWrap w:val="0"/>
        <w:spacing w:line="400" w:lineRule="atLeast"/>
        <w:ind w:firstLine="480" w:firstLineChars="200"/>
        <w:rPr>
          <w:sz w:val="24"/>
        </w:rPr>
      </w:pPr>
      <w:r>
        <w:rPr>
          <w:sz w:val="24"/>
        </w:rPr>
        <w:t>3.7.2澄清和说明不得超出投标文件的范围或改变投标文件的实质性内容（算术性错误的修正除外）。投标人的书面澄清、说明属于投标文件的组成部分。</w:t>
      </w:r>
    </w:p>
    <w:p w14:paraId="1A369073">
      <w:pPr>
        <w:wordWrap w:val="0"/>
        <w:spacing w:line="400" w:lineRule="atLeast"/>
        <w:ind w:firstLine="480" w:firstLineChars="200"/>
        <w:rPr>
          <w:sz w:val="24"/>
        </w:rPr>
      </w:pPr>
      <w:r>
        <w:rPr>
          <w:sz w:val="24"/>
        </w:rPr>
        <w:t>3.7.3评标委员会不得暗示或诱导投标人作出澄清、说明，对投标人提交的澄清、说明有疑问的，可以要求投标人进一步澄清或说明，直至满足评标委员会的要求。</w:t>
      </w:r>
    </w:p>
    <w:p w14:paraId="3A5045D9">
      <w:pPr>
        <w:wordWrap w:val="0"/>
        <w:spacing w:line="400" w:lineRule="atLeast"/>
        <w:ind w:firstLine="480" w:firstLineChars="200"/>
        <w:rPr>
          <w:sz w:val="24"/>
        </w:rPr>
      </w:pPr>
      <w:r>
        <w:rPr>
          <w:sz w:val="24"/>
        </w:rPr>
        <w:t>3.7.4凡超出招标文件规定的或给发包人带来未曾要求的利益的变化、偏差或其他因素在评标时不予考虑。</w:t>
      </w:r>
    </w:p>
    <w:p w14:paraId="349466E8">
      <w:pPr>
        <w:pStyle w:val="3"/>
        <w:wordWrap w:val="0"/>
        <w:spacing w:line="400" w:lineRule="atLeast"/>
        <w:rPr>
          <w:szCs w:val="24"/>
        </w:rPr>
      </w:pPr>
      <w:bookmarkStart w:id="13" w:name="_Toc28046"/>
      <w:r>
        <w:rPr>
          <w:szCs w:val="24"/>
        </w:rPr>
        <w:t>3.8不得否决投标的情形</w:t>
      </w:r>
      <w:bookmarkEnd w:id="13"/>
    </w:p>
    <w:p w14:paraId="3C3C9A4A">
      <w:pPr>
        <w:wordWrap w:val="0"/>
        <w:spacing w:line="400" w:lineRule="atLeast"/>
        <w:ind w:firstLine="480" w:firstLineChars="200"/>
        <w:rPr>
          <w:rFonts w:eastAsia="隶书"/>
          <w:sz w:val="24"/>
        </w:rPr>
      </w:pPr>
      <w:r>
        <w:rPr>
          <w:sz w:val="24"/>
        </w:rPr>
        <w:t>投标文件存在第二章</w:t>
      </w:r>
      <w:r>
        <w:rPr>
          <w:rFonts w:hint="eastAsia" w:cs="宋体"/>
          <w:sz w:val="24"/>
        </w:rPr>
        <w:t>“</w:t>
      </w:r>
      <w:r>
        <w:rPr>
          <w:sz w:val="24"/>
        </w:rPr>
        <w:t>投标人须知</w:t>
      </w:r>
      <w:r>
        <w:rPr>
          <w:rFonts w:hint="eastAsia" w:cs="宋体"/>
          <w:sz w:val="24"/>
        </w:rPr>
        <w:t>”</w:t>
      </w:r>
      <w:r>
        <w:rPr>
          <w:sz w:val="24"/>
        </w:rPr>
        <w:t>第1.12.3项所列情形的，均视为细微偏差，评标委员会不得否决投标人的投标，应按照第二章</w:t>
      </w:r>
      <w:r>
        <w:rPr>
          <w:rFonts w:hint="eastAsia" w:cs="宋体"/>
          <w:sz w:val="24"/>
        </w:rPr>
        <w:t>“</w:t>
      </w:r>
      <w:r>
        <w:rPr>
          <w:sz w:val="24"/>
        </w:rPr>
        <w:t>投标人须知</w:t>
      </w:r>
      <w:r>
        <w:rPr>
          <w:rFonts w:hint="eastAsia" w:cs="宋体"/>
          <w:sz w:val="24"/>
        </w:rPr>
        <w:t>”</w:t>
      </w:r>
      <w:r>
        <w:rPr>
          <w:sz w:val="24"/>
        </w:rPr>
        <w:t>第1.12.4项规定的原则处理。</w:t>
      </w:r>
    </w:p>
    <w:p w14:paraId="7BF7D1B6">
      <w:pPr>
        <w:pStyle w:val="3"/>
        <w:wordWrap w:val="0"/>
        <w:rPr>
          <w:szCs w:val="24"/>
        </w:rPr>
      </w:pPr>
      <w:bookmarkStart w:id="14" w:name="_Toc18249"/>
      <w:r>
        <w:rPr>
          <w:szCs w:val="24"/>
        </w:rPr>
        <w:t>3.9评标结果</w:t>
      </w:r>
      <w:bookmarkEnd w:id="14"/>
    </w:p>
    <w:p w14:paraId="6D35223C">
      <w:pPr>
        <w:wordWrap w:val="0"/>
        <w:spacing w:line="400" w:lineRule="atLeast"/>
        <w:ind w:firstLine="480" w:firstLineChars="200"/>
        <w:rPr>
          <w:sz w:val="24"/>
        </w:rPr>
      </w:pPr>
      <w:r>
        <w:rPr>
          <w:sz w:val="24"/>
        </w:rPr>
        <w:t>3.9.1除第二章</w:t>
      </w:r>
      <w:r>
        <w:rPr>
          <w:rFonts w:hint="eastAsia" w:cs="宋体"/>
          <w:sz w:val="24"/>
        </w:rPr>
        <w:t>“</w:t>
      </w:r>
      <w:r>
        <w:rPr>
          <w:sz w:val="24"/>
        </w:rPr>
        <w:t>投标人须知</w:t>
      </w:r>
      <w:r>
        <w:rPr>
          <w:rFonts w:hint="eastAsia" w:cs="宋体"/>
          <w:sz w:val="24"/>
        </w:rPr>
        <w:t>”</w:t>
      </w:r>
      <w:r>
        <w:rPr>
          <w:sz w:val="24"/>
        </w:rPr>
        <w:t>前附表授权直接确定中标人外，评标委员会按照评标价</w:t>
      </w:r>
      <w:r>
        <w:rPr>
          <w:rFonts w:hint="eastAsia"/>
          <w:sz w:val="24"/>
        </w:rPr>
        <w:t>得分</w:t>
      </w:r>
      <w:r>
        <w:rPr>
          <w:sz w:val="24"/>
        </w:rPr>
        <w:t>由</w:t>
      </w:r>
      <w:r>
        <w:rPr>
          <w:rFonts w:hint="eastAsia"/>
          <w:sz w:val="24"/>
        </w:rPr>
        <w:t>高</w:t>
      </w:r>
      <w:r>
        <w:rPr>
          <w:sz w:val="24"/>
        </w:rPr>
        <w:t>到</w:t>
      </w:r>
      <w:r>
        <w:rPr>
          <w:rFonts w:hint="eastAsia"/>
          <w:sz w:val="24"/>
        </w:rPr>
        <w:t>低</w:t>
      </w:r>
      <w:r>
        <w:rPr>
          <w:sz w:val="24"/>
        </w:rPr>
        <w:t>的顺序推荐中标候选人，并标明排序。</w:t>
      </w:r>
    </w:p>
    <w:p w14:paraId="2A6F4006">
      <w:pPr>
        <w:wordWrap w:val="0"/>
        <w:spacing w:line="400" w:lineRule="atLeast"/>
        <w:ind w:firstLine="480" w:firstLineChars="200"/>
        <w:rPr>
          <w:rFonts w:eastAsia="隶书"/>
          <w:sz w:val="24"/>
        </w:rPr>
      </w:pPr>
      <w:r>
        <w:rPr>
          <w:sz w:val="24"/>
        </w:rPr>
        <w:t>3.9.2评标委员会完成评标后，应向招标人提交评标报告</w:t>
      </w:r>
      <w:r>
        <w:rPr>
          <w:rFonts w:eastAsia="隶书"/>
          <w:sz w:val="24"/>
        </w:rPr>
        <w:t>。</w:t>
      </w:r>
    </w:p>
    <w:p w14:paraId="6E30AF94"/>
    <w:sectPr>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Helvetica">
    <w:panose1 w:val="020B0504020202030204"/>
    <w:charset w:val="00"/>
    <w:family w:val="auto"/>
    <w:pitch w:val="default"/>
    <w:sig w:usb0="00000007" w:usb1="00000000" w:usb2="00000000" w:usb3="00000000" w:csb0="00000093" w:csb1="00000000"/>
  </w:font>
  <w:font w:name="Wingdings 2">
    <w:altName w:val="Wingdings"/>
    <w:panose1 w:val="05020102010507070707"/>
    <w:charset w:val="02"/>
    <w:family w:val="roman"/>
    <w:pitch w:val="default"/>
    <w:sig w:usb0="00000000" w:usb1="00000000" w:usb2="00000000" w:usb3="00000000" w:csb0="80000000" w:csb1="00000000"/>
  </w:font>
  <w:font w:name="MS Gothic">
    <w:panose1 w:val="020B0609070205080204"/>
    <w:charset w:val="80"/>
    <w:family w:val="modern"/>
    <w:pitch w:val="default"/>
    <w:sig w:usb0="E00002FF" w:usb1="6AC7FDFB" w:usb2="00000012" w:usb3="00000000" w:csb0="4002009F" w:csb1="DFD70000"/>
  </w:font>
  <w:font w:name="Wingdings">
    <w:panose1 w:val="05000000000000000000"/>
    <w:charset w:val="00"/>
    <w:family w:val="auto"/>
    <w:pitch w:val="default"/>
    <w:sig w:usb0="00000000" w:usb1="00000000" w:usb2="00000000" w:usb3="00000000" w:csb0="80000000" w:csb1="00000000"/>
  </w:font>
  <w:font w:name="隶书">
    <w:altName w:val="微软雅黑"/>
    <w:panose1 w:val="0201050906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EACB05">
    <w:pPr>
      <w:pStyle w:val="5"/>
      <w:spacing w:line="240" w:lineRule="exact"/>
      <w:ind w:right="360" w:firstLine="360"/>
      <w:jc w:val="center"/>
      <w:rPr>
        <w:rFonts w:eastAsia="黑体"/>
        <w:sz w:val="17"/>
        <w:szCs w:val="17"/>
      </w:rPr>
    </w:pPr>
    <w:r>
      <w:rPr>
        <w:sz w:val="17"/>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F65314">
                          <w:pPr>
                            <w:pStyle w:val="5"/>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guJY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6C4liwCAABXBAAADgAAAAAAAAABACAAAAAfAQAAZHJzL2Uyb0RvYy54bWxQSwUGAAAAAAYA&#10;BgBZAQAAvQUAAAAA&#10;">
              <v:fill on="f" focussize="0,0"/>
              <v:stroke on="f" weight="0.5pt"/>
              <v:imagedata o:title=""/>
              <o:lock v:ext="edit" aspectratio="f"/>
              <v:textbox inset="0mm,0mm,0mm,0mm" style="mso-fit-shape-to-text:t;">
                <w:txbxContent>
                  <w:p w14:paraId="08F65314">
                    <w:pPr>
                      <w:pStyle w:val="5"/>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4">
    <w:p>
      <w:r>
        <w:separator/>
      </w:r>
    </w:p>
  </w:footnote>
  <w:footnote w:type="continuationSeparator" w:id="5">
    <w:p>
      <w:r>
        <w:continuationSeparator/>
      </w:r>
    </w:p>
  </w:footnote>
  <w:footnote w:id="0">
    <w:p w14:paraId="26C8D1D3">
      <w:pPr>
        <w:pStyle w:val="7"/>
        <w:spacing w:line="320" w:lineRule="atLeast"/>
        <w:ind w:left="210" w:hanging="210" w:hangingChars="100"/>
        <w:rPr>
          <w:szCs w:val="18"/>
        </w:rPr>
      </w:pPr>
      <w:r>
        <w:rPr>
          <w:rStyle w:val="12"/>
          <w:kern w:val="2"/>
          <w:sz w:val="21"/>
          <w:szCs w:val="18"/>
        </w:rPr>
        <w:footnoteRef/>
      </w:r>
      <w:r>
        <w:rPr>
          <w:rFonts w:hint="eastAsia"/>
          <w:szCs w:val="18"/>
        </w:rPr>
        <w:t>“评标办法前附表”用于明确评标的方法、因素、标准和程序，是对评标办法正文的补充和细化，应对照评标办法正文中同一编号的条款一起阅读和理解。</w:t>
      </w:r>
      <w:r>
        <w:rPr>
          <w:rFonts w:hint="eastAsia" w:ascii="黑体" w:hAnsi="黑体" w:eastAsia="黑体"/>
          <w:szCs w:val="18"/>
        </w:rPr>
        <w:t>如前附表与正文不一致时，以前附表的规定为准</w:t>
      </w:r>
      <w:r>
        <w:rPr>
          <w:rFonts w:hint="eastAsia"/>
          <w:szCs w:val="18"/>
        </w:rPr>
        <w:t>。招标人应根据招标项目具体特点和实际需要，详细列明全部评审因素、标准，没有列明的因素和标准不得作为评标的依据。</w:t>
      </w:r>
    </w:p>
  </w:footnote>
  <w:footnote w:id="1">
    <w:p w14:paraId="01264FEB">
      <w:pPr>
        <w:pStyle w:val="7"/>
        <w:spacing w:line="320" w:lineRule="atLeast"/>
        <w:ind w:left="210" w:hanging="210" w:hangingChars="100"/>
        <w:rPr>
          <w:rStyle w:val="12"/>
          <w:szCs w:val="18"/>
        </w:rPr>
      </w:pPr>
      <w:r>
        <w:rPr>
          <w:rStyle w:val="12"/>
          <w:kern w:val="2"/>
          <w:sz w:val="21"/>
          <w:szCs w:val="18"/>
        </w:rPr>
        <w:footnoteRef/>
      </w:r>
      <w:r>
        <w:rPr>
          <w:rFonts w:hint="eastAsia"/>
          <w:szCs w:val="18"/>
        </w:rPr>
        <w:t>如</w:t>
      </w:r>
      <w:r>
        <w:rPr>
          <w:rStyle w:val="12"/>
          <w:kern w:val="2"/>
          <w:sz w:val="21"/>
          <w:szCs w:val="18"/>
          <w:vertAlign w:val="baseline"/>
        </w:rPr>
        <w:t>本项目招标</w:t>
      </w:r>
      <w:r>
        <w:rPr>
          <w:rStyle w:val="12"/>
          <w:rFonts w:hint="eastAsia"/>
          <w:kern w:val="2"/>
          <w:sz w:val="21"/>
          <w:szCs w:val="18"/>
          <w:vertAlign w:val="baseline"/>
        </w:rPr>
        <w:t>由投标人按照招标人提供的</w:t>
      </w:r>
      <w:r>
        <w:rPr>
          <w:szCs w:val="18"/>
        </w:rPr>
        <w:t>书面</w:t>
      </w:r>
      <w:r>
        <w:rPr>
          <w:rStyle w:val="12"/>
          <w:rFonts w:hint="eastAsia"/>
          <w:kern w:val="2"/>
          <w:sz w:val="21"/>
          <w:szCs w:val="18"/>
          <w:vertAlign w:val="baseline"/>
        </w:rPr>
        <w:t>工程量清单填写</w:t>
      </w:r>
      <w:r>
        <w:rPr>
          <w:rStyle w:val="12"/>
          <w:kern w:val="2"/>
          <w:sz w:val="21"/>
          <w:szCs w:val="18"/>
          <w:vertAlign w:val="baseline"/>
        </w:rPr>
        <w:t>本合同各工程子目的单价、合价和总额价</w:t>
      </w:r>
      <w:r>
        <w:rPr>
          <w:rStyle w:val="12"/>
          <w:rFonts w:hint="eastAsia"/>
          <w:kern w:val="2"/>
          <w:sz w:val="21"/>
          <w:szCs w:val="18"/>
          <w:vertAlign w:val="baseline"/>
        </w:rPr>
        <w:t>，则</w:t>
      </w:r>
      <w:r>
        <w:rPr>
          <w:rStyle w:val="12"/>
          <w:kern w:val="2"/>
          <w:sz w:val="21"/>
          <w:szCs w:val="18"/>
          <w:vertAlign w:val="baseline"/>
        </w:rPr>
        <w:t>评标委员会按照</w:t>
      </w:r>
      <w:r>
        <w:rPr>
          <w:rStyle w:val="12"/>
          <w:rFonts w:hint="eastAsia"/>
          <w:kern w:val="2"/>
          <w:sz w:val="21"/>
          <w:szCs w:val="18"/>
          <w:vertAlign w:val="baseline"/>
        </w:rPr>
        <w:t>本</w:t>
      </w:r>
      <w:r>
        <w:rPr>
          <w:rStyle w:val="12"/>
          <w:kern w:val="2"/>
          <w:sz w:val="21"/>
          <w:szCs w:val="18"/>
          <w:vertAlign w:val="baseline"/>
        </w:rPr>
        <w:t>章</w:t>
      </w:r>
      <w:r>
        <w:rPr>
          <w:rStyle w:val="12"/>
          <w:rFonts w:hint="eastAsia"/>
          <w:kern w:val="2"/>
          <w:sz w:val="21"/>
          <w:szCs w:val="18"/>
          <w:vertAlign w:val="baseline"/>
        </w:rPr>
        <w:t>第3.4.2项和第3</w:t>
      </w:r>
      <w:r>
        <w:rPr>
          <w:rFonts w:hint="eastAsia"/>
          <w:szCs w:val="18"/>
        </w:rPr>
        <w:t>.4.3项</w:t>
      </w:r>
      <w:r>
        <w:rPr>
          <w:rStyle w:val="12"/>
          <w:rFonts w:hint="eastAsia"/>
          <w:kern w:val="2"/>
          <w:sz w:val="21"/>
          <w:szCs w:val="18"/>
          <w:vertAlign w:val="baseline"/>
        </w:rPr>
        <w:t>的</w:t>
      </w:r>
      <w:r>
        <w:rPr>
          <w:rStyle w:val="12"/>
          <w:kern w:val="2"/>
          <w:sz w:val="21"/>
          <w:szCs w:val="18"/>
          <w:vertAlign w:val="baseline"/>
        </w:rPr>
        <w:t>规定</w:t>
      </w:r>
      <w:r>
        <w:rPr>
          <w:rStyle w:val="12"/>
          <w:rFonts w:hint="eastAsia"/>
          <w:kern w:val="2"/>
          <w:sz w:val="21"/>
          <w:szCs w:val="18"/>
          <w:vertAlign w:val="baseline"/>
        </w:rPr>
        <w:t>对投标人的投标报价进行修正。</w:t>
      </w:r>
      <w:r>
        <w:rPr>
          <w:rFonts w:hint="eastAsia"/>
          <w:szCs w:val="18"/>
        </w:rPr>
        <w:t>如</w:t>
      </w:r>
      <w:r>
        <w:rPr>
          <w:rStyle w:val="12"/>
          <w:kern w:val="2"/>
          <w:sz w:val="21"/>
          <w:szCs w:val="18"/>
          <w:vertAlign w:val="baseline"/>
        </w:rPr>
        <w:t>本项目招标</w:t>
      </w:r>
      <w:r>
        <w:rPr>
          <w:rFonts w:hint="eastAsia"/>
          <w:szCs w:val="18"/>
        </w:rPr>
        <w:t>由投标人按照招标人提供的</w:t>
      </w:r>
      <w:r>
        <w:rPr>
          <w:szCs w:val="18"/>
        </w:rPr>
        <w:t>工程量固化清单</w:t>
      </w:r>
      <w:r>
        <w:rPr>
          <w:rFonts w:hint="eastAsia"/>
          <w:szCs w:val="18"/>
        </w:rPr>
        <w:t>电子文件填写工程量清单，无须按照本章第3.4.2项和第3.4.3项的规定对投标报价进行修正，第3.4.2项至第3.4.4项内容不适用。</w:t>
      </w:r>
    </w:p>
    <w:p w14:paraId="35D489B1">
      <w:pPr>
        <w:pStyle w:val="7"/>
        <w:spacing w:line="300" w:lineRule="atLeast"/>
        <w:ind w:left="210" w:hanging="210"/>
        <w:rPr>
          <w:rStyle w:val="12"/>
          <w:szCs w:val="18"/>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4"/>
    <w:footnote w:id="5"/>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5C954E2"/>
    <w:rsid w:val="45C954E2"/>
    <w:rsid w:val="62B176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240" w:after="240" w:line="240" w:lineRule="atLeast"/>
      <w:outlineLvl w:val="0"/>
    </w:pPr>
    <w:rPr>
      <w:rFonts w:eastAsia="黑体"/>
      <w:bCs/>
      <w:kern w:val="44"/>
      <w:sz w:val="24"/>
      <w:szCs w:val="44"/>
    </w:rPr>
  </w:style>
  <w:style w:type="character" w:default="1" w:styleId="11">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style>
  <w:style w:type="paragraph" w:styleId="2">
    <w:name w:val="Normal Indent"/>
    <w:basedOn w:val="1"/>
    <w:next w:val="1"/>
    <w:qFormat/>
    <w:uiPriority w:val="0"/>
    <w:pPr>
      <w:ind w:firstLine="420" w:firstLineChars="200"/>
    </w:pPr>
  </w:style>
  <w:style w:type="paragraph" w:styleId="4">
    <w:name w:val="Body Text 3"/>
    <w:basedOn w:val="1"/>
    <w:qFormat/>
    <w:uiPriority w:val="0"/>
    <w:rPr>
      <w:rFonts w:ascii="宋体"/>
      <w:sz w:val="24"/>
      <w:szCs w:val="20"/>
    </w:r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qFormat/>
    <w:uiPriority w:val="0"/>
    <w:pPr>
      <w:tabs>
        <w:tab w:val="center" w:pos="4153"/>
        <w:tab w:val="right" w:pos="8306"/>
      </w:tabs>
      <w:snapToGrid w:val="0"/>
      <w:jc w:val="center"/>
    </w:pPr>
    <w:rPr>
      <w:sz w:val="18"/>
      <w:szCs w:val="18"/>
    </w:rPr>
  </w:style>
  <w:style w:type="paragraph" w:styleId="7">
    <w:name w:val="footnote text"/>
    <w:basedOn w:val="1"/>
    <w:qFormat/>
    <w:uiPriority w:val="0"/>
    <w:pPr>
      <w:adjustRightInd w:val="0"/>
      <w:snapToGrid w:val="0"/>
      <w:spacing w:line="420" w:lineRule="atLeast"/>
      <w:ind w:firstLine="454"/>
      <w:jc w:val="left"/>
      <w:textAlignment w:val="baseline"/>
    </w:pPr>
    <w:rPr>
      <w:kern w:val="0"/>
      <w:sz w:val="18"/>
      <w:szCs w:val="20"/>
    </w:rPr>
  </w:style>
  <w:style w:type="paragraph" w:styleId="8">
    <w:name w:val="Title"/>
    <w:basedOn w:val="1"/>
    <w:link w:val="13"/>
    <w:qFormat/>
    <w:uiPriority w:val="0"/>
    <w:pPr>
      <w:adjustRightInd w:val="0"/>
      <w:spacing w:before="240" w:after="60" w:line="420" w:lineRule="atLeast"/>
      <w:jc w:val="center"/>
      <w:textAlignment w:val="baseline"/>
      <w:outlineLvl w:val="0"/>
    </w:pPr>
    <w:rPr>
      <w:rFonts w:ascii="Arial" w:hAnsi="Arial"/>
      <w:b/>
      <w:kern w:val="0"/>
      <w:sz w:val="32"/>
      <w:szCs w:val="20"/>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footnote reference"/>
    <w:qFormat/>
    <w:uiPriority w:val="0"/>
    <w:rPr>
      <w:vertAlign w:val="superscript"/>
    </w:rPr>
  </w:style>
  <w:style w:type="character" w:customStyle="1" w:styleId="13">
    <w:name w:val="标题 字符"/>
    <w:link w:val="8"/>
    <w:qFormat/>
    <w:uiPriority w:val="0"/>
    <w:rPr>
      <w:rFonts w:ascii="Arial" w:hAnsi="Arial"/>
      <w:b/>
      <w:kern w:val="0"/>
      <w:sz w:val="32"/>
      <w:szCs w:val="20"/>
    </w:rPr>
  </w:style>
  <w:style w:type="paragraph" w:customStyle="1" w:styleId="14">
    <w:name w:val="Normal_2"/>
    <w:qFormat/>
    <w:uiPriority w:val="0"/>
    <w:rPr>
      <w:rFonts w:ascii="Times New Roman" w:hAnsi="Times New Roman" w:eastAsia="Times New Roman" w:cs="Times New Roman"/>
      <w:sz w:val="24"/>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2026-06-09T00:27:00Z</dcterms:created>
  <dc:creator>多么哇塞的姑娘℡</dc:creator>
  <cp:lastModifiedBy>多么哇塞的姑娘℡</cp:lastModifiedBy>
  <dcterms:modified xsi:type="dcterms:W3CDTF">2026-06-09T00:29:35Z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20BA385DFA0B4610B3310539378DE429_13</vt:lpwstr>
  </property>
  <property fmtid="{D5CDD505-2E9C-101B-9397-08002B2CF9AE}" pid="4" name="KSOTemplateDocerSaveRecord">
    <vt:lpwstr>eyJoZGlkIjoiODgxMjc0ZDI3ZWZiMjgwYTNmNzkzNzZlN2U3OTUyMzEiLCJ1c2VySWQiOiIzOTE4ODY3NjMifQ==</vt:lpwstr>
  </property>
</Properties>
</file>